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4480" w14:textId="4BF1A91B" w:rsidR="0054004B" w:rsidRDefault="0038660A">
      <w:r>
        <w:rPr>
          <w:noProof/>
        </w:rPr>
        <mc:AlternateContent>
          <mc:Choice Requires="wps">
            <w:drawing>
              <wp:anchor distT="0" distB="0" distL="114300" distR="114300" simplePos="0" relativeHeight="251660288" behindDoc="0" locked="0" layoutInCell="1" allowOverlap="1" wp14:anchorId="1AAB670B" wp14:editId="1578C095">
                <wp:simplePos x="0" y="0"/>
                <wp:positionH relativeFrom="margin">
                  <wp:align>left</wp:align>
                </wp:positionH>
                <wp:positionV relativeFrom="paragraph">
                  <wp:posOffset>9525</wp:posOffset>
                </wp:positionV>
                <wp:extent cx="4000500" cy="10858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000500" cy="1085850"/>
                        </a:xfrm>
                        <a:prstGeom prst="rect">
                          <a:avLst/>
                        </a:prstGeom>
                        <a:noFill/>
                        <a:ln w="6350">
                          <a:noFill/>
                        </a:ln>
                      </wps:spPr>
                      <wps:txbx>
                        <w:txbxContent>
                          <w:p w14:paraId="4FB09C74" w14:textId="09DE8762" w:rsidR="0038660A" w:rsidRPr="0038660A" w:rsidRDefault="0038660A" w:rsidP="0038660A">
                            <w:pPr>
                              <w:spacing w:line="360" w:lineRule="auto"/>
                              <w:rPr>
                                <w:rFonts w:ascii="High Tower Text" w:hAnsi="High Tower Text"/>
                              </w:rPr>
                            </w:pPr>
                            <w:r w:rsidRPr="0038660A">
                              <w:rPr>
                                <w:rFonts w:ascii="High Tower Text" w:hAnsi="High Tower Text"/>
                                <w:sz w:val="40"/>
                                <w:szCs w:val="40"/>
                              </w:rPr>
                              <w:t>FINANCIAL HOUSE</w:t>
                            </w:r>
                            <w:r w:rsidRPr="0038660A">
                              <w:rPr>
                                <w:rFonts w:ascii="High Tower Text" w:hAnsi="High Tower Text"/>
                                <w:sz w:val="40"/>
                                <w:szCs w:val="40"/>
                              </w:rPr>
                              <w:br/>
                            </w:r>
                            <w:r w:rsidR="0082434A">
                              <w:rPr>
                                <w:rFonts w:ascii="High Tower Text" w:hAnsi="High Tower Text"/>
                                <w:sz w:val="40"/>
                                <w:szCs w:val="40"/>
                              </w:rPr>
                              <w:t>BLUEPRINT</w:t>
                            </w:r>
                            <w:r w:rsidR="00D4714F">
                              <w:rPr>
                                <w:rFonts w:ascii="High Tower Text" w:hAnsi="High Tower Text"/>
                                <w:sz w:val="40"/>
                                <w:szCs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B670B" id="_x0000_t202" coordsize="21600,21600" o:spt="202" path="m,l,21600r21600,l21600,xe">
                <v:stroke joinstyle="miter"/>
                <v:path gradientshapeok="t" o:connecttype="rect"/>
              </v:shapetype>
              <v:shape id="Text Box 60" o:spid="_x0000_s1026" type="#_x0000_t202" style="position:absolute;margin-left:0;margin-top:.75pt;width:315pt;height:8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" filled="f" stroked="f" strokeweight=".5pt">
                <v:textbox>
                  <w:txbxContent>
                    <w:p w14:paraId="4FB09C74" w14:textId="09DE8762" w:rsidR="0038660A" w:rsidRPr="0038660A" w:rsidRDefault="0038660A" w:rsidP="0038660A">
                      <w:pPr>
                        <w:spacing w:line="360" w:lineRule="auto"/>
                        <w:rPr>
                          <w:rFonts w:ascii="High Tower Text" w:hAnsi="High Tower Text"/>
                        </w:rPr>
                      </w:pPr>
                      <w:r w:rsidRPr="0038660A">
                        <w:rPr>
                          <w:rFonts w:ascii="High Tower Text" w:hAnsi="High Tower Text"/>
                          <w:sz w:val="40"/>
                          <w:szCs w:val="40"/>
                        </w:rPr>
                        <w:t>FINANCIAL HOUSE</w:t>
                      </w:r>
                      <w:r w:rsidRPr="0038660A">
                        <w:rPr>
                          <w:rFonts w:ascii="High Tower Text" w:hAnsi="High Tower Text"/>
                          <w:sz w:val="40"/>
                          <w:szCs w:val="40"/>
                        </w:rPr>
                        <w:br/>
                      </w:r>
                      <w:r w:rsidR="0082434A">
                        <w:rPr>
                          <w:rFonts w:ascii="High Tower Text" w:hAnsi="High Tower Text"/>
                          <w:sz w:val="40"/>
                          <w:szCs w:val="40"/>
                        </w:rPr>
                        <w:t>BLUEPRINT</w:t>
                      </w:r>
                      <w:r w:rsidR="00D4714F">
                        <w:rPr>
                          <w:rFonts w:ascii="High Tower Text" w:hAnsi="High Tower Text"/>
                          <w:sz w:val="40"/>
                          <w:szCs w:val="40"/>
                        </w:rPr>
                        <w:t>S</w:t>
                      </w:r>
                    </w:p>
                  </w:txbxContent>
                </v:textbox>
                <w10:wrap anchorx="margin"/>
              </v:shape>
            </w:pict>
          </mc:Fallback>
        </mc:AlternateContent>
      </w:r>
    </w:p>
    <w:p w14:paraId="5E277F63" w14:textId="74E572B7" w:rsidR="0054004B" w:rsidRDefault="0054004B"/>
    <w:p w14:paraId="697AFDAA" w14:textId="158C6A5B" w:rsidR="0054004B" w:rsidRDefault="0054004B"/>
    <w:p w14:paraId="2C5351E2" w14:textId="23F27395" w:rsidR="0054004B" w:rsidRDefault="0054004B" w:rsidP="0054004B">
      <w:pPr>
        <w:spacing w:line="480" w:lineRule="auto"/>
        <w:jc w:val="center"/>
        <w:rPr>
          <w:sz w:val="40"/>
          <w:szCs w:val="40"/>
        </w:rPr>
      </w:pPr>
    </w:p>
    <w:p w14:paraId="29996294" w14:textId="6835F11A" w:rsidR="0054004B" w:rsidRDefault="0054004B" w:rsidP="0054004B">
      <w:pPr>
        <w:spacing w:line="480" w:lineRule="auto"/>
        <w:jc w:val="center"/>
        <w:rPr>
          <w:sz w:val="40"/>
          <w:szCs w:val="40"/>
        </w:rPr>
      </w:pPr>
    </w:p>
    <w:p w14:paraId="2B87CD53" w14:textId="6E8640CA" w:rsidR="0054004B" w:rsidRDefault="0054004B" w:rsidP="0054004B">
      <w:pPr>
        <w:spacing w:line="480" w:lineRule="auto"/>
        <w:jc w:val="center"/>
        <w:rPr>
          <w:sz w:val="40"/>
          <w:szCs w:val="40"/>
        </w:rPr>
      </w:pPr>
    </w:p>
    <w:p w14:paraId="2421AB26" w14:textId="32097D8B" w:rsidR="0054004B" w:rsidRDefault="0054004B" w:rsidP="0054004B">
      <w:pPr>
        <w:spacing w:after="0" w:line="240" w:lineRule="auto"/>
        <w:jc w:val="center"/>
        <w:rPr>
          <w:sz w:val="40"/>
          <w:szCs w:val="40"/>
        </w:rPr>
      </w:pPr>
    </w:p>
    <w:p w14:paraId="4B2D19A7" w14:textId="729863B7" w:rsidR="006C2397" w:rsidRDefault="00E50592">
      <w:pPr>
        <w:rPr>
          <w:sz w:val="40"/>
          <w:szCs w:val="40"/>
        </w:rPr>
      </w:pPr>
      <w:r>
        <w:rPr>
          <w:noProof/>
        </w:rPr>
        <mc:AlternateContent>
          <mc:Choice Requires="wps">
            <w:drawing>
              <wp:anchor distT="0" distB="0" distL="114300" distR="114300" simplePos="0" relativeHeight="251662336" behindDoc="0" locked="0" layoutInCell="1" allowOverlap="1" wp14:anchorId="1A36E6BB" wp14:editId="7F3D6102">
                <wp:simplePos x="0" y="0"/>
                <wp:positionH relativeFrom="margin">
                  <wp:posOffset>2127903</wp:posOffset>
                </wp:positionH>
                <wp:positionV relativeFrom="paragraph">
                  <wp:posOffset>2787027</wp:posOffset>
                </wp:positionV>
                <wp:extent cx="4376515" cy="1709159"/>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376515" cy="1709159"/>
                        </a:xfrm>
                        <a:prstGeom prst="rect">
                          <a:avLst/>
                        </a:prstGeom>
                        <a:noFill/>
                        <a:ln w="6350">
                          <a:noFill/>
                        </a:ln>
                      </wps:spPr>
                      <wps:txbx>
                        <w:txbxContent>
                          <w:p w14:paraId="7D5B7FFC" w14:textId="255D9DA9" w:rsidR="0038660A" w:rsidRPr="00770CD0" w:rsidRDefault="0038660A" w:rsidP="0038660A">
                            <w:pPr>
                              <w:spacing w:line="360" w:lineRule="auto"/>
                              <w:jc w:val="right"/>
                              <w:rPr>
                                <w:rFonts w:ascii="Calibri" w:hAnsi="Calibri" w:cs="Calibri"/>
                                <w:b/>
                                <w:bCs/>
                                <w:sz w:val="28"/>
                                <w:szCs w:val="28"/>
                              </w:rPr>
                            </w:pPr>
                            <w:r w:rsidRPr="00770CD0">
                              <w:rPr>
                                <w:rFonts w:ascii="Calibri" w:hAnsi="Calibri" w:cs="Calibri"/>
                                <w:b/>
                                <w:bCs/>
                                <w:sz w:val="28"/>
                                <w:szCs w:val="28"/>
                              </w:rPr>
                              <w:t>Confidentially Prepared for:</w:t>
                            </w:r>
                          </w:p>
                          <w:p w14:paraId="7923E26D" w14:textId="3E86BCDF" w:rsidR="00770CD0" w:rsidRPr="00770CD0" w:rsidRDefault="00BF07E4" w:rsidP="0038660A">
                            <w:pPr>
                              <w:spacing w:line="360" w:lineRule="auto"/>
                              <w:jc w:val="right"/>
                              <w:rPr>
                                <w:rFonts w:ascii="Calibri" w:hAnsi="Calibri" w:cs="Calibri"/>
                                <w:sz w:val="22"/>
                                <w:szCs w:val="22"/>
                              </w:rPr>
                            </w:pPr>
                            <w:r>
                              <w:rPr>
                                <w:rFonts w:ascii="Calibri" w:hAnsi="Calibri" w:cs="Calibri"/>
                                <w:sz w:val="22"/>
                                <w:szCs w:val="22"/>
                              </w:rPr>
                              <w:t>May 6</w:t>
                            </w:r>
                            <w:r w:rsidR="004548D8">
                              <w:rPr>
                                <w:rFonts w:ascii="Calibri" w:hAnsi="Calibri" w:cs="Calibri"/>
                                <w:sz w:val="22"/>
                                <w:szCs w:val="2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6E6BB" id="_x0000_t202" coordsize="21600,21600" o:spt="202" path="m,l,21600r21600,l21600,xe">
                <v:stroke joinstyle="miter"/>
                <v:path gradientshapeok="t" o:connecttype="rect"/>
              </v:shapetype>
              <v:shape id="Text Box 61" o:spid="_x0000_s1027" type="#_x0000_t202" style="position:absolute;margin-left:167.55pt;margin-top:219.45pt;width:344.6pt;height:13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" filled="f" stroked="f" strokeweight=".5pt">
                <v:textbox>
                  <w:txbxContent>
                    <w:p w14:paraId="7D5B7FFC" w14:textId="255D9DA9" w:rsidR="0038660A" w:rsidRPr="00770CD0" w:rsidRDefault="0038660A" w:rsidP="0038660A">
                      <w:pPr>
                        <w:spacing w:line="360" w:lineRule="auto"/>
                        <w:jc w:val="right"/>
                        <w:rPr>
                          <w:rFonts w:ascii="Calibri" w:hAnsi="Calibri" w:cs="Calibri"/>
                          <w:b/>
                          <w:bCs/>
                          <w:sz w:val="28"/>
                          <w:szCs w:val="28"/>
                        </w:rPr>
                      </w:pPr>
                      <w:r w:rsidRPr="00770CD0">
                        <w:rPr>
                          <w:rFonts w:ascii="Calibri" w:hAnsi="Calibri" w:cs="Calibri"/>
                          <w:b/>
                          <w:bCs/>
                          <w:sz w:val="28"/>
                          <w:szCs w:val="28"/>
                        </w:rPr>
                        <w:t>Confidentially Prepared for:</w:t>
                      </w:r>
                    </w:p>
                    <w:p w14:paraId="7923E26D" w14:textId="3E86BCDF" w:rsidR="00770CD0" w:rsidRPr="00770CD0" w:rsidRDefault="00BF07E4" w:rsidP="0038660A">
                      <w:pPr>
                        <w:spacing w:line="360" w:lineRule="auto"/>
                        <w:jc w:val="right"/>
                        <w:rPr>
                          <w:rFonts w:ascii="Calibri" w:hAnsi="Calibri" w:cs="Calibri"/>
                          <w:sz w:val="22"/>
                          <w:szCs w:val="22"/>
                        </w:rPr>
                      </w:pPr>
                      <w:r>
                        <w:rPr>
                          <w:rFonts w:ascii="Calibri" w:hAnsi="Calibri" w:cs="Calibri"/>
                          <w:sz w:val="22"/>
                          <w:szCs w:val="22"/>
                        </w:rPr>
                        <w:t>May 6</w:t>
                      </w:r>
                      <w:r w:rsidR="004548D8">
                        <w:rPr>
                          <w:rFonts w:ascii="Calibri" w:hAnsi="Calibri" w:cs="Calibri"/>
                          <w:sz w:val="22"/>
                          <w:szCs w:val="22"/>
                        </w:rPr>
                        <w:t>, 2022</w:t>
                      </w:r>
                    </w:p>
                  </w:txbxContent>
                </v:textbox>
                <w10:wrap anchorx="margin"/>
              </v:shape>
            </w:pict>
          </mc:Fallback>
        </mc:AlternateContent>
      </w:r>
      <w:r w:rsidR="00D4714F">
        <w:rPr>
          <w:noProof/>
        </w:rPr>
        <w:drawing>
          <wp:anchor distT="0" distB="0" distL="114300" distR="114300" simplePos="0" relativeHeight="251675648" behindDoc="0" locked="0" layoutInCell="1" allowOverlap="1" wp14:anchorId="692907E9" wp14:editId="7722454C">
            <wp:simplePos x="0" y="0"/>
            <wp:positionH relativeFrom="margin">
              <wp:posOffset>2076450</wp:posOffset>
            </wp:positionH>
            <wp:positionV relativeFrom="paragraph">
              <wp:posOffset>210185</wp:posOffset>
            </wp:positionV>
            <wp:extent cx="4381500" cy="1908948"/>
            <wp:effectExtent l="0" t="0" r="0" b="0"/>
            <wp:wrapNone/>
            <wp:docPr id="15" name="Picture 15" descr="Arc Reprographics : MORE GREAT PRODUCTS : CONSTRUCTION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 Reprographics : MORE GREAT PRODUCTS : CONSTRUCTION DOC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908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397">
        <w:rPr>
          <w:sz w:val="40"/>
          <w:szCs w:val="40"/>
        </w:rPr>
        <w:br w:type="page"/>
      </w:r>
    </w:p>
    <w:p w14:paraId="40C67B74" w14:textId="1E34F0BD" w:rsidR="00770CD0" w:rsidRPr="00770CD0" w:rsidRDefault="00770CD0" w:rsidP="00770CD0">
      <w:pPr>
        <w:pStyle w:val="Title"/>
        <w:ind w:right="3330"/>
      </w:pPr>
      <w:r>
        <w:lastRenderedPageBreak/>
        <w:t xml:space="preserve">Your Financial House </w:t>
      </w:r>
      <w:r w:rsidR="00AA05D4">
        <w:t>BLUEPRINT</w:t>
      </w:r>
      <w:r w:rsidR="009E238D">
        <w:t>s</w:t>
      </w:r>
    </w:p>
    <w:p w14:paraId="291672B6" w14:textId="759FB47D" w:rsidR="001273C1" w:rsidRDefault="00770CD0">
      <w:pPr>
        <w:pStyle w:val="Subtitle"/>
      </w:pPr>
      <w:r>
        <w:t>Proprietary &amp; Confidential</w:t>
      </w:r>
    </w:p>
    <w:p w14:paraId="0F2794F5" w14:textId="76697E07" w:rsidR="001273C1" w:rsidRDefault="00770CD0">
      <w:pPr>
        <w:pStyle w:val="Heading1"/>
      </w:pPr>
      <w:r>
        <w:t>introduction</w:t>
      </w:r>
    </w:p>
    <w:p w14:paraId="1B841392" w14:textId="4060FC72" w:rsidR="001273C1" w:rsidRDefault="0063124D" w:rsidP="00770CD0">
      <w:pPr>
        <w:jc w:val="both"/>
      </w:pPr>
      <w:r>
        <w:t xml:space="preserve">Your </w:t>
      </w:r>
      <w:r>
        <w:rPr>
          <w:b/>
          <w:bCs/>
          <w:i/>
          <w:iCs/>
        </w:rPr>
        <w:t>Financial House Blue</w:t>
      </w:r>
      <w:r w:rsidR="00EC4B4C">
        <w:rPr>
          <w:b/>
          <w:bCs/>
          <w:i/>
          <w:iCs/>
        </w:rPr>
        <w:t>P</w:t>
      </w:r>
      <w:r>
        <w:rPr>
          <w:b/>
          <w:bCs/>
          <w:i/>
          <w:iCs/>
        </w:rPr>
        <w:t>rint</w:t>
      </w:r>
      <w:r w:rsidR="003A3031">
        <w:rPr>
          <w:b/>
          <w:bCs/>
          <w:i/>
          <w:iCs/>
        </w:rPr>
        <w:t xml:space="preserve"> Report</w:t>
      </w:r>
      <w:r w:rsidR="00882E27">
        <w:t xml:space="preserve"> </w:t>
      </w:r>
      <w:r w:rsidR="003A3031">
        <w:t>will be</w:t>
      </w:r>
      <w:r w:rsidR="00EF754F">
        <w:t xml:space="preserve"> created based on </w:t>
      </w:r>
      <w:r w:rsidR="00882E27">
        <w:t xml:space="preserve">a review of your current financial situation, </w:t>
      </w:r>
      <w:r>
        <w:t>customized</w:t>
      </w:r>
      <w:r w:rsidR="00882E27">
        <w:rPr>
          <w:b/>
          <w:bCs/>
          <w:i/>
          <w:iCs/>
        </w:rPr>
        <w:t xml:space="preserve"> Financial House Inspection Report</w:t>
      </w:r>
      <w:r w:rsidR="00882E27">
        <w:t xml:space="preserve"> and our discussions of your specific goals and needs.</w:t>
      </w:r>
      <w:r w:rsidR="00EF754F">
        <w:t xml:space="preserve">  </w:t>
      </w:r>
      <w:bookmarkStart w:id="0" w:name="_Hlk94009382"/>
      <w:r w:rsidR="00EF754F">
        <w:t xml:space="preserve">The </w:t>
      </w:r>
      <w:r w:rsidR="003A3031">
        <w:t>decisions we make together will focus on</w:t>
      </w:r>
      <w:r>
        <w:t xml:space="preserve"> strengthen</w:t>
      </w:r>
      <w:r w:rsidR="003A3031">
        <w:t>ing</w:t>
      </w:r>
      <w:r>
        <w:t xml:space="preserve"> your</w:t>
      </w:r>
      <w:r w:rsidR="00EF754F">
        <w:t xml:space="preserve"> </w:t>
      </w:r>
      <w:r w:rsidR="00EF754F" w:rsidRPr="00EF754F">
        <w:rPr>
          <w:b/>
          <w:bCs/>
          <w:i/>
          <w:iCs/>
        </w:rPr>
        <w:t>Financial House</w:t>
      </w:r>
      <w:r>
        <w:rPr>
          <w:b/>
          <w:bCs/>
          <w:i/>
          <w:iCs/>
        </w:rPr>
        <w:t xml:space="preserve"> </w:t>
      </w:r>
      <w:r>
        <w:t xml:space="preserve">and </w:t>
      </w:r>
      <w:r w:rsidR="003A3031">
        <w:t>taking</w:t>
      </w:r>
      <w:r>
        <w:t xml:space="preserve"> advantage of the overall opportunities available through </w:t>
      </w:r>
      <w:r w:rsidRPr="0063124D">
        <w:rPr>
          <w:i/>
          <w:iCs/>
        </w:rPr>
        <w:t>The Efficient Portfolio</w:t>
      </w:r>
      <w:r w:rsidRPr="0063124D">
        <w:rPr>
          <w:rFonts w:cstheme="minorHAnsi"/>
          <w:i/>
          <w:iCs/>
        </w:rPr>
        <w:t>™</w:t>
      </w:r>
      <w:r w:rsidR="00EF754F" w:rsidRPr="0063124D">
        <w:rPr>
          <w:b/>
          <w:bCs/>
          <w:i/>
          <w:iCs/>
        </w:rPr>
        <w:t>.</w:t>
      </w:r>
      <w:bookmarkEnd w:id="0"/>
      <w:r w:rsidR="00EF754F">
        <w:t xml:space="preserve">  </w:t>
      </w:r>
      <w:r>
        <w:t>A high-level review of both of these tools is below:</w:t>
      </w:r>
    </w:p>
    <w:p w14:paraId="1C15C61F" w14:textId="78318BE6" w:rsidR="00FA21DD" w:rsidRDefault="00FA21DD" w:rsidP="00FA21DD">
      <w:pPr>
        <w:pStyle w:val="Heading2"/>
        <w:ind w:left="720"/>
      </w:pPr>
      <w:r>
        <w:t>The Financial House</w:t>
      </w:r>
    </w:p>
    <w:p w14:paraId="3C9AE6F3" w14:textId="241A7719" w:rsidR="00B642FE" w:rsidRPr="003279C3" w:rsidRDefault="0063124D" w:rsidP="00151111">
      <w:pPr>
        <w:pStyle w:val="Heading2"/>
        <w:spacing w:before="0" w:after="180" w:line="288" w:lineRule="auto"/>
        <w:ind w:left="720"/>
        <w:jc w:val="both"/>
        <w:rPr>
          <w:rFonts w:cstheme="minorHAnsi"/>
          <w:b w:val="0"/>
          <w:bCs w:val="0"/>
          <w:color w:val="auto"/>
          <w:sz w:val="18"/>
          <w:szCs w:val="18"/>
        </w:rPr>
      </w:pPr>
      <w:r w:rsidRPr="003279C3">
        <w:rPr>
          <w:rFonts w:cstheme="minorHAnsi"/>
          <w:b w:val="0"/>
          <w:bCs w:val="0"/>
          <w:color w:val="auto"/>
          <w:sz w:val="18"/>
          <w:szCs w:val="18"/>
        </w:rPr>
        <w:t xml:space="preserve">The </w:t>
      </w:r>
      <w:r w:rsidRPr="003279C3">
        <w:rPr>
          <w:rFonts w:cstheme="minorHAnsi"/>
          <w:b w:val="0"/>
          <w:bCs w:val="0"/>
          <w:i/>
          <w:iCs/>
          <w:color w:val="auto"/>
          <w:sz w:val="18"/>
          <w:szCs w:val="18"/>
        </w:rPr>
        <w:t xml:space="preserve">Financial House </w:t>
      </w:r>
      <w:r w:rsidRPr="003279C3">
        <w:rPr>
          <w:rFonts w:cstheme="minorHAnsi"/>
          <w:b w:val="0"/>
          <w:bCs w:val="0"/>
          <w:color w:val="auto"/>
          <w:sz w:val="18"/>
          <w:szCs w:val="18"/>
        </w:rPr>
        <w:t>illustrates the necessity of a solid foundation built on stable investments with consistent returns and leveraging other investments strategies (i.e., walls</w:t>
      </w:r>
      <w:r w:rsidR="00FA21DD">
        <w:rPr>
          <w:rFonts w:cstheme="minorHAnsi"/>
          <w:b w:val="0"/>
          <w:bCs w:val="0"/>
          <w:color w:val="auto"/>
          <w:sz w:val="18"/>
          <w:szCs w:val="18"/>
        </w:rPr>
        <w:t xml:space="preserve"> and roof</w:t>
      </w:r>
      <w:r w:rsidRPr="003279C3">
        <w:rPr>
          <w:rFonts w:cstheme="minorHAnsi"/>
          <w:b w:val="0"/>
          <w:bCs w:val="0"/>
          <w:color w:val="auto"/>
          <w:sz w:val="18"/>
          <w:szCs w:val="18"/>
        </w:rPr>
        <w:t>) to complete the portfolio</w:t>
      </w:r>
      <w:r w:rsidR="00FA21DD">
        <w:rPr>
          <w:rFonts w:cstheme="minorHAnsi"/>
          <w:b w:val="0"/>
          <w:bCs w:val="0"/>
          <w:color w:val="auto"/>
          <w:sz w:val="18"/>
          <w:szCs w:val="18"/>
        </w:rPr>
        <w:t xml:space="preserve"> with strategies that allow for growth through additional risk/reward opportunities.  </w:t>
      </w:r>
    </w:p>
    <w:p w14:paraId="34EF86FB" w14:textId="3B941FF6" w:rsidR="001273C1" w:rsidRPr="00FA21DD" w:rsidRDefault="00EF754F" w:rsidP="002259CC">
      <w:pPr>
        <w:pStyle w:val="Heading2"/>
        <w:spacing w:after="60"/>
        <w:ind w:left="1080"/>
        <w:rPr>
          <w:b w:val="0"/>
          <w:bCs w:val="0"/>
          <w:sz w:val="22"/>
          <w:szCs w:val="22"/>
        </w:rPr>
      </w:pPr>
      <w:r w:rsidRPr="00FA21DD">
        <w:rPr>
          <w:b w:val="0"/>
          <w:bCs w:val="0"/>
          <w:sz w:val="22"/>
          <w:szCs w:val="22"/>
        </w:rPr>
        <w:t>The Foundation</w:t>
      </w:r>
    </w:p>
    <w:p w14:paraId="3B2AF8EC" w14:textId="2657C5B0" w:rsidR="001273C1" w:rsidRPr="00FA21DD" w:rsidRDefault="002175EE" w:rsidP="002259CC">
      <w:pPr>
        <w:ind w:left="1080"/>
        <w:jc w:val="both"/>
        <w:rPr>
          <w:sz w:val="16"/>
          <w:szCs w:val="16"/>
        </w:rPr>
      </w:pPr>
      <w:r w:rsidRPr="00FA21DD">
        <w:rPr>
          <w:sz w:val="16"/>
          <w:szCs w:val="16"/>
        </w:rPr>
        <w:t xml:space="preserve">The tools and resources we leverage to ensure you have a solid foundation for your finances are focused on eliminating </w:t>
      </w:r>
      <w:r w:rsidR="002B2F6D" w:rsidRPr="00FA21DD">
        <w:rPr>
          <w:sz w:val="16"/>
          <w:szCs w:val="16"/>
        </w:rPr>
        <w:t xml:space="preserve">market-based </w:t>
      </w:r>
      <w:r w:rsidRPr="00FA21DD">
        <w:rPr>
          <w:sz w:val="16"/>
          <w:szCs w:val="16"/>
        </w:rPr>
        <w:t>risk</w:t>
      </w:r>
      <w:r w:rsidR="003963A0" w:rsidRPr="00FA21DD">
        <w:rPr>
          <w:sz w:val="16"/>
          <w:szCs w:val="16"/>
        </w:rPr>
        <w:t xml:space="preserve"> and providing modest gains</w:t>
      </w:r>
      <w:r w:rsidRPr="00FA21DD">
        <w:rPr>
          <w:sz w:val="16"/>
          <w:szCs w:val="16"/>
        </w:rPr>
        <w:t xml:space="preserve"> while also providing access to liquidity to support your daily needs.</w:t>
      </w:r>
    </w:p>
    <w:p w14:paraId="454DE940" w14:textId="1D9AD62A" w:rsidR="001273C1" w:rsidRPr="00FA21DD" w:rsidRDefault="002175EE" w:rsidP="002259CC">
      <w:pPr>
        <w:pStyle w:val="Heading2"/>
        <w:spacing w:after="60"/>
        <w:ind w:left="1080"/>
        <w:rPr>
          <w:b w:val="0"/>
          <w:bCs w:val="0"/>
          <w:sz w:val="22"/>
          <w:szCs w:val="22"/>
        </w:rPr>
      </w:pPr>
      <w:r w:rsidRPr="00FA21DD">
        <w:rPr>
          <w:b w:val="0"/>
          <w:bCs w:val="0"/>
          <w:sz w:val="22"/>
          <w:szCs w:val="22"/>
        </w:rPr>
        <w:t>The Walls</w:t>
      </w:r>
    </w:p>
    <w:p w14:paraId="1DB72881" w14:textId="02AE21F4" w:rsidR="001273C1" w:rsidRPr="00FA21DD" w:rsidRDefault="00FA21DD" w:rsidP="002259CC">
      <w:pPr>
        <w:pStyle w:val="NoSpacing"/>
        <w:spacing w:after="180" w:line="288" w:lineRule="auto"/>
        <w:ind w:left="1080"/>
        <w:jc w:val="both"/>
        <w:rPr>
          <w:sz w:val="16"/>
          <w:szCs w:val="16"/>
        </w:rPr>
      </w:pPr>
      <w:r w:rsidRPr="00FA21DD">
        <w:rPr>
          <w:sz w:val="16"/>
          <w:szCs w:val="16"/>
        </w:rPr>
        <w:t>T</w:t>
      </w:r>
      <w:r w:rsidR="002175EE" w:rsidRPr="00FA21DD">
        <w:rPr>
          <w:sz w:val="16"/>
          <w:szCs w:val="16"/>
        </w:rPr>
        <w:t xml:space="preserve">he walls represent other investment opportunities that meet your specific growth needs.  </w:t>
      </w:r>
      <w:r w:rsidR="006C01BE" w:rsidRPr="00FA21DD">
        <w:rPr>
          <w:sz w:val="16"/>
          <w:szCs w:val="16"/>
        </w:rPr>
        <w:t>Based on your goals and your situation in life, your walls will be designed to maximize your portfolio for success</w:t>
      </w:r>
      <w:r w:rsidR="003963A0" w:rsidRPr="00FA21DD">
        <w:rPr>
          <w:sz w:val="16"/>
          <w:szCs w:val="16"/>
        </w:rPr>
        <w:t xml:space="preserve"> by leveraging market-based investments as well as off-market real estate and private equity.</w:t>
      </w:r>
    </w:p>
    <w:p w14:paraId="22A69A64" w14:textId="7EC00285" w:rsidR="001273C1" w:rsidRPr="00FA21DD" w:rsidRDefault="002175EE" w:rsidP="002259CC">
      <w:pPr>
        <w:pStyle w:val="Heading2"/>
        <w:spacing w:after="60"/>
        <w:ind w:left="1080"/>
        <w:rPr>
          <w:b w:val="0"/>
          <w:bCs w:val="0"/>
          <w:sz w:val="22"/>
          <w:szCs w:val="22"/>
        </w:rPr>
      </w:pPr>
      <w:r w:rsidRPr="00FA21DD">
        <w:rPr>
          <w:b w:val="0"/>
          <w:bCs w:val="0"/>
          <w:sz w:val="22"/>
          <w:szCs w:val="22"/>
        </w:rPr>
        <w:t>The Roof</w:t>
      </w:r>
    </w:p>
    <w:p w14:paraId="30F7DD4A" w14:textId="148CF9A3" w:rsidR="001273C1" w:rsidRPr="00FA21DD" w:rsidRDefault="006C01BE" w:rsidP="002259CC">
      <w:pPr>
        <w:pStyle w:val="NoSpacing"/>
        <w:spacing w:after="180" w:line="288" w:lineRule="auto"/>
        <w:ind w:left="1080"/>
        <w:jc w:val="both"/>
        <w:rPr>
          <w:sz w:val="16"/>
          <w:szCs w:val="16"/>
        </w:rPr>
      </w:pPr>
      <w:r w:rsidRPr="00FA21DD">
        <w:rPr>
          <w:sz w:val="16"/>
          <w:szCs w:val="16"/>
        </w:rPr>
        <w:t xml:space="preserve">The </w:t>
      </w:r>
      <w:r w:rsidR="002B2F6D" w:rsidRPr="00FA21DD">
        <w:rPr>
          <w:sz w:val="16"/>
          <w:szCs w:val="16"/>
        </w:rPr>
        <w:t>roof represents investments with a significant risk/reward profile such as venture capital or crypt</w:t>
      </w:r>
      <w:r w:rsidR="002E6687" w:rsidRPr="00FA21DD">
        <w:rPr>
          <w:sz w:val="16"/>
          <w:szCs w:val="16"/>
        </w:rPr>
        <w:t>o</w:t>
      </w:r>
      <w:r w:rsidR="002B2F6D" w:rsidRPr="00FA21DD">
        <w:rPr>
          <w:sz w:val="16"/>
          <w:szCs w:val="16"/>
        </w:rPr>
        <w:t xml:space="preserve">-currency.  This part of your portfolio will likely not represent a significant amount of your overall investable </w:t>
      </w:r>
      <w:r w:rsidR="00B642FE" w:rsidRPr="00FA21DD">
        <w:rPr>
          <w:sz w:val="16"/>
          <w:szCs w:val="16"/>
        </w:rPr>
        <w:t>assets but</w:t>
      </w:r>
      <w:r w:rsidR="002B2F6D" w:rsidRPr="00FA21DD">
        <w:rPr>
          <w:sz w:val="16"/>
          <w:szCs w:val="16"/>
        </w:rPr>
        <w:t xml:space="preserve"> is an important consideration to talk through.</w:t>
      </w:r>
    </w:p>
    <w:p w14:paraId="3E52BF10" w14:textId="77777777" w:rsidR="00FA21DD" w:rsidRDefault="00FA21DD"/>
    <w:p w14:paraId="0778A8B9" w14:textId="069E0038" w:rsidR="00FA21DD" w:rsidRDefault="00FA21DD" w:rsidP="00FA21DD">
      <w:pPr>
        <w:pStyle w:val="Heading2"/>
        <w:ind w:left="720"/>
      </w:pPr>
      <w:r>
        <w:t>The Efficient Portfolio</w:t>
      </w:r>
      <w:r>
        <w:rPr>
          <w:rFonts w:cstheme="minorHAnsi"/>
        </w:rPr>
        <w:t>™</w:t>
      </w:r>
    </w:p>
    <w:p w14:paraId="787AE552" w14:textId="77777777" w:rsidR="009B6905" w:rsidRDefault="00151111" w:rsidP="00151111">
      <w:pPr>
        <w:pStyle w:val="Heading2"/>
        <w:spacing w:before="0" w:after="180" w:line="288" w:lineRule="auto"/>
        <w:ind w:left="720"/>
        <w:jc w:val="both"/>
        <w:rPr>
          <w:rFonts w:cstheme="minorHAnsi"/>
          <w:b w:val="0"/>
          <w:bCs w:val="0"/>
          <w:color w:val="auto"/>
          <w:sz w:val="18"/>
          <w:szCs w:val="18"/>
        </w:rPr>
      </w:pPr>
      <w:r w:rsidRPr="00151111">
        <w:rPr>
          <w:rFonts w:cstheme="minorHAnsi"/>
          <w:b w:val="0"/>
          <w:bCs w:val="0"/>
          <w:i/>
          <w:iCs/>
          <w:color w:val="auto"/>
          <w:sz w:val="18"/>
          <w:szCs w:val="18"/>
        </w:rPr>
        <w:t>The Efficient Portfolio™</w:t>
      </w:r>
      <w:r>
        <w:rPr>
          <w:rFonts w:cstheme="minorHAnsi"/>
          <w:b w:val="0"/>
          <w:bCs w:val="0"/>
          <w:color w:val="auto"/>
          <w:sz w:val="18"/>
          <w:szCs w:val="18"/>
        </w:rPr>
        <w:t xml:space="preserve"> </w:t>
      </w:r>
      <w:r w:rsidRPr="00151111">
        <w:rPr>
          <w:rFonts w:cstheme="minorHAnsi"/>
          <w:b w:val="0"/>
          <w:bCs w:val="0"/>
          <w:color w:val="auto"/>
          <w:sz w:val="18"/>
          <w:szCs w:val="18"/>
        </w:rPr>
        <w:t xml:space="preserve">is </w:t>
      </w:r>
      <w:r>
        <w:rPr>
          <w:rFonts w:cstheme="minorHAnsi"/>
          <w:b w:val="0"/>
          <w:bCs w:val="0"/>
          <w:color w:val="auto"/>
          <w:sz w:val="18"/>
          <w:szCs w:val="18"/>
        </w:rPr>
        <w:t xml:space="preserve">our </w:t>
      </w:r>
      <w:r w:rsidRPr="00151111">
        <w:rPr>
          <w:rFonts w:cstheme="minorHAnsi"/>
          <w:b w:val="0"/>
          <w:bCs w:val="0"/>
          <w:color w:val="auto"/>
          <w:sz w:val="18"/>
          <w:szCs w:val="18"/>
        </w:rPr>
        <w:t xml:space="preserve">trademarked process that seeks to ensure </w:t>
      </w:r>
      <w:r>
        <w:rPr>
          <w:rFonts w:cstheme="minorHAnsi"/>
          <w:b w:val="0"/>
          <w:bCs w:val="0"/>
          <w:color w:val="auto"/>
          <w:sz w:val="18"/>
          <w:szCs w:val="18"/>
        </w:rPr>
        <w:t>your</w:t>
      </w:r>
      <w:r w:rsidRPr="00151111">
        <w:rPr>
          <w:rFonts w:cstheme="minorHAnsi"/>
          <w:b w:val="0"/>
          <w:bCs w:val="0"/>
          <w:color w:val="auto"/>
          <w:sz w:val="18"/>
          <w:szCs w:val="18"/>
        </w:rPr>
        <w:t xml:space="preserve"> best interests are considered when building an investment strategy.  </w:t>
      </w:r>
      <w:r>
        <w:rPr>
          <w:rFonts w:cstheme="minorHAnsi"/>
          <w:b w:val="0"/>
          <w:bCs w:val="0"/>
          <w:color w:val="auto"/>
          <w:sz w:val="18"/>
          <w:szCs w:val="18"/>
        </w:rPr>
        <w:t>Instead of focusing</w:t>
      </w:r>
      <w:r w:rsidRPr="00151111">
        <w:rPr>
          <w:rFonts w:cstheme="minorHAnsi"/>
          <w:b w:val="0"/>
          <w:bCs w:val="0"/>
          <w:color w:val="auto"/>
          <w:sz w:val="18"/>
          <w:szCs w:val="18"/>
        </w:rPr>
        <w:t xml:space="preserve"> all of </w:t>
      </w:r>
      <w:r>
        <w:rPr>
          <w:rFonts w:cstheme="minorHAnsi"/>
          <w:b w:val="0"/>
          <w:bCs w:val="0"/>
          <w:color w:val="auto"/>
          <w:sz w:val="18"/>
          <w:szCs w:val="18"/>
        </w:rPr>
        <w:t>our</w:t>
      </w:r>
      <w:r w:rsidRPr="00151111">
        <w:rPr>
          <w:rFonts w:cstheme="minorHAnsi"/>
          <w:b w:val="0"/>
          <w:bCs w:val="0"/>
          <w:color w:val="auto"/>
          <w:sz w:val="18"/>
          <w:szCs w:val="18"/>
        </w:rPr>
        <w:t xml:space="preserve"> strategies in the market, </w:t>
      </w:r>
      <w:r w:rsidRPr="00151111">
        <w:rPr>
          <w:rFonts w:cstheme="minorHAnsi"/>
          <w:b w:val="0"/>
          <w:bCs w:val="0"/>
          <w:i/>
          <w:iCs/>
          <w:color w:val="auto"/>
          <w:sz w:val="18"/>
          <w:szCs w:val="18"/>
        </w:rPr>
        <w:t>The Efficient Portfolio™</w:t>
      </w:r>
      <w:r w:rsidRPr="00151111">
        <w:rPr>
          <w:rFonts w:cstheme="minorHAnsi"/>
          <w:b w:val="0"/>
          <w:bCs w:val="0"/>
          <w:color w:val="auto"/>
          <w:sz w:val="18"/>
          <w:szCs w:val="18"/>
        </w:rPr>
        <w:t xml:space="preserve"> process considers </w:t>
      </w:r>
      <w:r w:rsidR="00083A76">
        <w:rPr>
          <w:rFonts w:cstheme="minorHAnsi"/>
          <w:b w:val="0"/>
          <w:bCs w:val="0"/>
          <w:color w:val="auto"/>
          <w:sz w:val="18"/>
          <w:szCs w:val="18"/>
        </w:rPr>
        <w:t>off-market</w:t>
      </w:r>
      <w:r w:rsidRPr="00151111">
        <w:rPr>
          <w:rFonts w:cstheme="minorHAnsi"/>
          <w:b w:val="0"/>
          <w:bCs w:val="0"/>
          <w:color w:val="auto"/>
          <w:sz w:val="18"/>
          <w:szCs w:val="18"/>
        </w:rPr>
        <w:t xml:space="preserve"> investment</w:t>
      </w:r>
      <w:r w:rsidR="00083A76">
        <w:rPr>
          <w:rFonts w:cstheme="minorHAnsi"/>
          <w:b w:val="0"/>
          <w:bCs w:val="0"/>
          <w:color w:val="auto"/>
          <w:sz w:val="18"/>
          <w:szCs w:val="18"/>
        </w:rPr>
        <w:t>, insurance-based products</w:t>
      </w:r>
      <w:r w:rsidRPr="00151111">
        <w:rPr>
          <w:rFonts w:cstheme="minorHAnsi"/>
          <w:b w:val="0"/>
          <w:bCs w:val="0"/>
          <w:color w:val="auto"/>
          <w:sz w:val="18"/>
          <w:szCs w:val="18"/>
        </w:rPr>
        <w:t xml:space="preserve"> and tax strategies that provide a holistic approach unequaled in the industry.</w:t>
      </w:r>
    </w:p>
    <w:tbl>
      <w:tblPr>
        <w:tblStyle w:val="ProposalTable"/>
        <w:tblW w:w="8737" w:type="dxa"/>
        <w:tblInd w:w="715" w:type="dxa"/>
        <w:tblLook w:val="04A0" w:firstRow="1" w:lastRow="0" w:firstColumn="1" w:lastColumn="0" w:noHBand="0" w:noVBand="1"/>
      </w:tblPr>
      <w:tblGrid>
        <w:gridCol w:w="1351"/>
        <w:gridCol w:w="1440"/>
        <w:gridCol w:w="1440"/>
        <w:gridCol w:w="1558"/>
        <w:gridCol w:w="1559"/>
        <w:gridCol w:w="1389"/>
      </w:tblGrid>
      <w:tr w:rsidR="009B6905" w14:paraId="10862E0D" w14:textId="77777777" w:rsidTr="009B6905">
        <w:trPr>
          <w:cnfStyle w:val="100000000000" w:firstRow="1" w:lastRow="0" w:firstColumn="0" w:lastColumn="0" w:oddVBand="0" w:evenVBand="0" w:oddHBand="0" w:evenHBand="0" w:firstRowFirstColumn="0" w:firstRowLastColumn="0" w:lastRowFirstColumn="0" w:lastRowLastColumn="0"/>
        </w:trPr>
        <w:tc>
          <w:tcPr>
            <w:tcW w:w="1351" w:type="dxa"/>
            <w:vAlign w:val="center"/>
          </w:tcPr>
          <w:p w14:paraId="7469E431" w14:textId="5FD6A34A"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Market</w:t>
            </w:r>
          </w:p>
        </w:tc>
        <w:tc>
          <w:tcPr>
            <w:tcW w:w="1440" w:type="dxa"/>
            <w:vAlign w:val="center"/>
          </w:tcPr>
          <w:p w14:paraId="1D642B68" w14:textId="1DE2EFD4"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Real-Estate</w:t>
            </w:r>
          </w:p>
        </w:tc>
        <w:tc>
          <w:tcPr>
            <w:tcW w:w="1440" w:type="dxa"/>
            <w:vAlign w:val="center"/>
          </w:tcPr>
          <w:p w14:paraId="26E1F526" w14:textId="7C7BC038"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Private Equity</w:t>
            </w:r>
          </w:p>
        </w:tc>
        <w:tc>
          <w:tcPr>
            <w:tcW w:w="1558" w:type="dxa"/>
            <w:vAlign w:val="center"/>
          </w:tcPr>
          <w:p w14:paraId="45866768" w14:textId="3609AD36"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Correctly Designed Annuities</w:t>
            </w:r>
          </w:p>
        </w:tc>
        <w:tc>
          <w:tcPr>
            <w:tcW w:w="1559" w:type="dxa"/>
            <w:vAlign w:val="center"/>
          </w:tcPr>
          <w:p w14:paraId="5039C7E3" w14:textId="6ADA64AD"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Advanced Tax Planning</w:t>
            </w:r>
          </w:p>
        </w:tc>
        <w:tc>
          <w:tcPr>
            <w:tcW w:w="1389" w:type="dxa"/>
            <w:vAlign w:val="center"/>
          </w:tcPr>
          <w:p w14:paraId="53B637C4" w14:textId="48C4C67B" w:rsidR="009B6905" w:rsidRDefault="009B6905" w:rsidP="009B6905">
            <w:pPr>
              <w:pStyle w:val="Heading2"/>
              <w:spacing w:before="0" w:after="0"/>
              <w:jc w:val="center"/>
              <w:outlineLvl w:val="1"/>
              <w:rPr>
                <w:rFonts w:cstheme="minorHAnsi"/>
                <w:b/>
                <w:bCs w:val="0"/>
                <w:color w:val="auto"/>
                <w:sz w:val="18"/>
                <w:szCs w:val="18"/>
              </w:rPr>
            </w:pPr>
            <w:r>
              <w:rPr>
                <w:rFonts w:cstheme="minorHAnsi"/>
                <w:b/>
                <w:bCs w:val="0"/>
                <w:color w:val="auto"/>
                <w:sz w:val="18"/>
                <w:szCs w:val="18"/>
              </w:rPr>
              <w:t>Legacy Planning</w:t>
            </w:r>
          </w:p>
        </w:tc>
      </w:tr>
    </w:tbl>
    <w:p w14:paraId="39C6D55C" w14:textId="649663AE" w:rsidR="006C01BE" w:rsidRPr="00151111" w:rsidRDefault="006C01BE" w:rsidP="00151111">
      <w:pPr>
        <w:pStyle w:val="Heading2"/>
        <w:spacing w:before="0" w:after="180" w:line="288" w:lineRule="auto"/>
        <w:ind w:left="720"/>
        <w:jc w:val="both"/>
        <w:rPr>
          <w:rFonts w:cstheme="minorHAnsi"/>
          <w:b w:val="0"/>
          <w:bCs w:val="0"/>
          <w:color w:val="auto"/>
          <w:sz w:val="18"/>
          <w:szCs w:val="18"/>
        </w:rPr>
      </w:pPr>
      <w:r w:rsidRPr="00151111">
        <w:rPr>
          <w:rFonts w:cstheme="minorHAnsi"/>
          <w:b w:val="0"/>
          <w:bCs w:val="0"/>
          <w:color w:val="auto"/>
          <w:sz w:val="18"/>
          <w:szCs w:val="18"/>
        </w:rPr>
        <w:br w:type="page"/>
      </w:r>
    </w:p>
    <w:p w14:paraId="6843E423" w14:textId="42D9B973" w:rsidR="001273C1" w:rsidRDefault="004E4D71">
      <w:pPr>
        <w:pStyle w:val="Heading1"/>
      </w:pPr>
      <w:r>
        <w:lastRenderedPageBreak/>
        <w:t xml:space="preserve">Foundation </w:t>
      </w:r>
      <w:r w:rsidR="00FE2521">
        <w:t>blueprint</w:t>
      </w:r>
    </w:p>
    <w:p w14:paraId="56CBDE95" w14:textId="507ACF5B" w:rsidR="006C01BE" w:rsidRDefault="003963A0" w:rsidP="00322339">
      <w:pPr>
        <w:jc w:val="both"/>
      </w:pPr>
      <w:r w:rsidRPr="003A3031">
        <w:t xml:space="preserve">In this section, we </w:t>
      </w:r>
      <w:r w:rsidR="003A3031">
        <w:t>focus on the structure of</w:t>
      </w:r>
      <w:r w:rsidR="00FE2521" w:rsidRPr="003A3031">
        <w:t xml:space="preserve"> the FOUNDATION of your </w:t>
      </w:r>
      <w:r w:rsidR="00FE2521" w:rsidRPr="003A3031">
        <w:rPr>
          <w:i/>
          <w:iCs/>
        </w:rPr>
        <w:t>Financial House</w:t>
      </w:r>
      <w:r w:rsidR="003A3031">
        <w:t>.</w:t>
      </w:r>
    </w:p>
    <w:p w14:paraId="5DD90BBD" w14:textId="08C3F943" w:rsidR="006C01BE" w:rsidRPr="003A3031" w:rsidRDefault="00FE2521">
      <w:pPr>
        <w:rPr>
          <w:b/>
          <w:bCs/>
          <w:u w:val="single"/>
        </w:rPr>
      </w:pPr>
      <w:r w:rsidRPr="003A3031">
        <w:rPr>
          <w:b/>
          <w:bCs/>
          <w:u w:val="single"/>
        </w:rPr>
        <w:t xml:space="preserve">Foundation </w:t>
      </w:r>
      <w:r w:rsidR="005425AB" w:rsidRPr="003A3031">
        <w:rPr>
          <w:b/>
          <w:bCs/>
          <w:u w:val="single"/>
        </w:rPr>
        <w:t>Strategy</w:t>
      </w:r>
      <w:r w:rsidR="00B8731F" w:rsidRPr="003A3031">
        <w:rPr>
          <w:b/>
          <w:bCs/>
          <w:u w:val="single"/>
        </w:rPr>
        <w:t>:</w:t>
      </w:r>
    </w:p>
    <w:p w14:paraId="470C43EA" w14:textId="0938AD8D" w:rsidR="005A520F" w:rsidRPr="000A3103" w:rsidRDefault="008C5E1F" w:rsidP="000A3103">
      <w:pPr>
        <w:pStyle w:val="ListParagraph"/>
        <w:numPr>
          <w:ilvl w:val="0"/>
          <w:numId w:val="14"/>
        </w:numPr>
        <w:spacing w:after="0" w:line="276" w:lineRule="auto"/>
        <w:rPr>
          <w:rFonts w:cstheme="minorHAnsi"/>
        </w:rPr>
      </w:pPr>
      <w:r w:rsidRPr="008C5E1F">
        <w:rPr>
          <w:rFonts w:cstheme="minorHAnsi"/>
        </w:rPr>
        <w:t xml:space="preserve">We recommend utilizing an equity-indexed annuity for a portion of the assets. This structure will provide the foundation for your portfolio with no market risk to your principal, the opportunity for growth, and access to 10% withdrawals annually. The focus of these investments is to protect your capital while still allowing freedom for growth potential with the added ability to lock in your gains as they occur.  Once gains are locked in, they can never be lost to market downturn. We have found utilizing this type of product, provides a good alternative to bond investments and have outperformed bonds while eliminating market risk. </w:t>
      </w:r>
    </w:p>
    <w:p w14:paraId="7AE98C41" w14:textId="3A0D41D1" w:rsidR="005A520F" w:rsidRDefault="005A520F" w:rsidP="005A520F">
      <w:pPr>
        <w:pStyle w:val="Heading1"/>
      </w:pPr>
      <w:r>
        <w:t xml:space="preserve">WALLS </w:t>
      </w:r>
      <w:r w:rsidR="00FE2521">
        <w:t>blueprint</w:t>
      </w:r>
    </w:p>
    <w:p w14:paraId="2DC6841E" w14:textId="355C34BF" w:rsidR="003A3031" w:rsidRDefault="003A3031" w:rsidP="003A3031">
      <w:pPr>
        <w:jc w:val="both"/>
      </w:pPr>
      <w:r w:rsidRPr="003A3031">
        <w:t xml:space="preserve">In this section, we </w:t>
      </w:r>
      <w:r>
        <w:t>focus on the structure of</w:t>
      </w:r>
      <w:r w:rsidRPr="003A3031">
        <w:t xml:space="preserve"> the </w:t>
      </w:r>
      <w:r>
        <w:t>WALLS</w:t>
      </w:r>
      <w:r w:rsidRPr="003A3031">
        <w:t xml:space="preserve"> of your </w:t>
      </w:r>
      <w:r w:rsidRPr="003A3031">
        <w:rPr>
          <w:i/>
          <w:iCs/>
        </w:rPr>
        <w:t>Financial House</w:t>
      </w:r>
      <w:r>
        <w:t>.</w:t>
      </w:r>
    </w:p>
    <w:p w14:paraId="1F65AB47" w14:textId="7A3393DD" w:rsidR="00FE2521" w:rsidRPr="003A3031" w:rsidRDefault="00FE2521" w:rsidP="00FE2521">
      <w:pPr>
        <w:rPr>
          <w:b/>
          <w:bCs/>
          <w:u w:val="single"/>
        </w:rPr>
      </w:pPr>
      <w:r w:rsidRPr="00FE2521">
        <w:rPr>
          <w:b/>
          <w:bCs/>
          <w:u w:val="single"/>
        </w:rPr>
        <w:t>Walls</w:t>
      </w:r>
      <w:r w:rsidRPr="003A3031">
        <w:rPr>
          <w:b/>
          <w:bCs/>
          <w:u w:val="single"/>
        </w:rPr>
        <w:t xml:space="preserve"> </w:t>
      </w:r>
      <w:r w:rsidR="005425AB" w:rsidRPr="003A3031">
        <w:rPr>
          <w:b/>
          <w:bCs/>
          <w:u w:val="single"/>
        </w:rPr>
        <w:t>Strategy</w:t>
      </w:r>
      <w:r w:rsidRPr="003A3031">
        <w:rPr>
          <w:b/>
          <w:bCs/>
          <w:u w:val="single"/>
        </w:rPr>
        <w:t>:</w:t>
      </w:r>
    </w:p>
    <w:p w14:paraId="33F4F2BE" w14:textId="3D340092" w:rsidR="000A3103" w:rsidRDefault="000A3103" w:rsidP="000A3103">
      <w:pPr>
        <w:pStyle w:val="ListParagraph"/>
        <w:numPr>
          <w:ilvl w:val="0"/>
          <w:numId w:val="14"/>
        </w:numPr>
        <w:spacing w:after="0" w:line="276" w:lineRule="auto"/>
        <w:rPr>
          <w:rFonts w:cstheme="minorHAnsi"/>
        </w:rPr>
      </w:pPr>
      <w:r w:rsidRPr="000A3103">
        <w:rPr>
          <w:rFonts w:cstheme="minorHAnsi"/>
        </w:rPr>
        <w:t>We recommend using well vetted alternative strategies that include direct real estate, private equity, and other currency protection structures like gold and other hard assets.  The real estate investments will allow for the potential of an increased rate of return while taking advantage of tax friendly income due to depreciable factors. An additional advantage is the opportunity to buy in to these alternative investments at a discounted price since they would be offered at a fiduciary pricing level. This advantage will result in an immediate increase in your investment value on the real estate structures.</w:t>
      </w:r>
    </w:p>
    <w:p w14:paraId="0F06C020" w14:textId="77777777" w:rsidR="000A3103" w:rsidRPr="000A3103" w:rsidRDefault="000A3103" w:rsidP="000A3103">
      <w:pPr>
        <w:pStyle w:val="ListParagraph"/>
        <w:spacing w:after="0" w:line="276" w:lineRule="auto"/>
        <w:rPr>
          <w:rFonts w:cstheme="minorHAnsi"/>
        </w:rPr>
      </w:pPr>
    </w:p>
    <w:p w14:paraId="55B2BF62" w14:textId="3D95F710" w:rsidR="006C01BE" w:rsidRPr="000A3103" w:rsidRDefault="000A3103" w:rsidP="000A3103">
      <w:pPr>
        <w:pStyle w:val="ListParagraph"/>
        <w:numPr>
          <w:ilvl w:val="0"/>
          <w:numId w:val="14"/>
        </w:numPr>
        <w:spacing w:after="0" w:line="276" w:lineRule="auto"/>
        <w:rPr>
          <w:rFonts w:cstheme="minorHAnsi"/>
        </w:rPr>
      </w:pPr>
      <w:r w:rsidRPr="000A3103">
        <w:rPr>
          <w:rFonts w:cstheme="minorHAnsi"/>
        </w:rPr>
        <w:t>In addition, we recommend having an element of a well-diversified portfolio in the market to allow for upside potential and increased liquidity if needed.</w:t>
      </w:r>
    </w:p>
    <w:p w14:paraId="52EF0F4D" w14:textId="6A4477C8" w:rsidR="00ED17E4" w:rsidRDefault="00ED17E4" w:rsidP="00ED17E4">
      <w:pPr>
        <w:pStyle w:val="Heading1"/>
      </w:pPr>
      <w:r>
        <w:t xml:space="preserve">ROOF </w:t>
      </w:r>
      <w:r w:rsidR="00FE2521">
        <w:t>blueprint</w:t>
      </w:r>
    </w:p>
    <w:p w14:paraId="2D6052D0" w14:textId="6BF16793" w:rsidR="003A3031" w:rsidRDefault="003A3031" w:rsidP="003A3031">
      <w:pPr>
        <w:jc w:val="both"/>
      </w:pPr>
      <w:r w:rsidRPr="003A3031">
        <w:t xml:space="preserve">In this section, we </w:t>
      </w:r>
      <w:r>
        <w:t>focus on the structure of</w:t>
      </w:r>
      <w:r w:rsidRPr="003A3031">
        <w:t xml:space="preserve"> the </w:t>
      </w:r>
      <w:r>
        <w:t>ROOF</w:t>
      </w:r>
      <w:r w:rsidRPr="003A3031">
        <w:t xml:space="preserve"> of your </w:t>
      </w:r>
      <w:r w:rsidRPr="003A3031">
        <w:rPr>
          <w:i/>
          <w:iCs/>
        </w:rPr>
        <w:t>Financial House</w:t>
      </w:r>
      <w:r>
        <w:t>.</w:t>
      </w:r>
    </w:p>
    <w:p w14:paraId="3B23E90D" w14:textId="71553CEA" w:rsidR="00FE2521" w:rsidRPr="003A3031" w:rsidRDefault="00FE2521" w:rsidP="00FE2521">
      <w:pPr>
        <w:rPr>
          <w:b/>
          <w:bCs/>
          <w:u w:val="single"/>
        </w:rPr>
      </w:pPr>
      <w:r>
        <w:rPr>
          <w:b/>
          <w:bCs/>
          <w:u w:val="single"/>
        </w:rPr>
        <w:t>Roof</w:t>
      </w:r>
      <w:r w:rsidRPr="003A3031">
        <w:rPr>
          <w:b/>
          <w:bCs/>
          <w:u w:val="single"/>
        </w:rPr>
        <w:t xml:space="preserve"> </w:t>
      </w:r>
      <w:r w:rsidR="005425AB" w:rsidRPr="003A3031">
        <w:rPr>
          <w:b/>
          <w:bCs/>
          <w:u w:val="single"/>
        </w:rPr>
        <w:t>Strategy</w:t>
      </w:r>
      <w:r w:rsidRPr="003A3031">
        <w:rPr>
          <w:b/>
          <w:bCs/>
          <w:u w:val="single"/>
        </w:rPr>
        <w:t>:</w:t>
      </w:r>
    </w:p>
    <w:p w14:paraId="7EA49F93" w14:textId="0D260D5E" w:rsidR="004E4D71" w:rsidRDefault="000A3103" w:rsidP="004E4D71">
      <w:pPr>
        <w:pStyle w:val="ListParagraph"/>
        <w:numPr>
          <w:ilvl w:val="0"/>
          <w:numId w:val="14"/>
        </w:numPr>
        <w:spacing w:line="480" w:lineRule="auto"/>
      </w:pPr>
      <w:r>
        <w:t>N/A</w:t>
      </w:r>
    </w:p>
    <w:p w14:paraId="07DB8553" w14:textId="7898368B" w:rsidR="000A3103" w:rsidRDefault="000A3103" w:rsidP="004E4D71">
      <w:pPr>
        <w:pStyle w:val="ListParagraph"/>
        <w:numPr>
          <w:ilvl w:val="0"/>
          <w:numId w:val="14"/>
        </w:numPr>
        <w:spacing w:line="480" w:lineRule="auto"/>
      </w:pPr>
      <w:r>
        <w:t xml:space="preserve">Examples of these types of investments would be venture capital, </w:t>
      </w:r>
      <w:r w:rsidR="0085020E">
        <w:t>hedge funds</w:t>
      </w:r>
      <w:r>
        <w:t xml:space="preserve">, etc. </w:t>
      </w:r>
    </w:p>
    <w:p w14:paraId="3A7091AC" w14:textId="212C4CDA" w:rsidR="0085020E" w:rsidRDefault="0085020E" w:rsidP="0085020E">
      <w:pPr>
        <w:pStyle w:val="ListParagraph"/>
        <w:numPr>
          <w:ilvl w:val="0"/>
          <w:numId w:val="14"/>
        </w:numPr>
        <w:spacing w:line="276" w:lineRule="auto"/>
      </w:pPr>
      <w:r>
        <w:t xml:space="preserve">We believe you do not currently need exposure to this style of investment. As we continue to lay the foundation of your portfolio, we will be able to reevaluate this in the future. </w:t>
      </w:r>
    </w:p>
    <w:p w14:paraId="7A133581" w14:textId="40843F84" w:rsidR="000A3103" w:rsidRDefault="000A3103" w:rsidP="0085020E">
      <w:pPr>
        <w:pStyle w:val="ListParagraph"/>
        <w:spacing w:line="276" w:lineRule="auto"/>
        <w:rPr>
          <w:rFonts w:ascii="Times New Roman" w:hAnsi="Times New Roman" w:cs="Times New Roman"/>
          <w:sz w:val="28"/>
        </w:rPr>
      </w:pPr>
    </w:p>
    <w:p w14:paraId="2C857968" w14:textId="178F4514" w:rsidR="000A3103" w:rsidRDefault="000A3103" w:rsidP="000A3103">
      <w:pPr>
        <w:pStyle w:val="ListParagraph"/>
        <w:spacing w:line="360" w:lineRule="auto"/>
        <w:rPr>
          <w:rFonts w:ascii="Times New Roman" w:hAnsi="Times New Roman" w:cs="Times New Roman"/>
          <w:sz w:val="28"/>
        </w:rPr>
      </w:pPr>
    </w:p>
    <w:p w14:paraId="6E59CFE1" w14:textId="0688CCC0" w:rsidR="000A3103" w:rsidRDefault="000A3103" w:rsidP="000A3103">
      <w:pPr>
        <w:pStyle w:val="ListParagraph"/>
        <w:spacing w:line="360" w:lineRule="auto"/>
        <w:rPr>
          <w:rFonts w:ascii="Times New Roman" w:hAnsi="Times New Roman" w:cs="Times New Roman"/>
          <w:sz w:val="28"/>
        </w:rPr>
      </w:pPr>
    </w:p>
    <w:p w14:paraId="49238557" w14:textId="72BF3F28" w:rsidR="000A3103" w:rsidRDefault="000A3103" w:rsidP="000A3103">
      <w:pPr>
        <w:pStyle w:val="ListParagraph"/>
        <w:spacing w:line="360" w:lineRule="auto"/>
        <w:rPr>
          <w:rFonts w:ascii="Times New Roman" w:hAnsi="Times New Roman" w:cs="Times New Roman"/>
          <w:sz w:val="28"/>
        </w:rPr>
      </w:pPr>
    </w:p>
    <w:p w14:paraId="75F683AA" w14:textId="77777777" w:rsidR="000A3103" w:rsidRPr="0085020E" w:rsidRDefault="000A3103" w:rsidP="0085020E">
      <w:pPr>
        <w:spacing w:line="360" w:lineRule="auto"/>
        <w:rPr>
          <w:rFonts w:ascii="Times New Roman" w:hAnsi="Times New Roman" w:cs="Times New Roman"/>
          <w:sz w:val="28"/>
        </w:rPr>
      </w:pPr>
    </w:p>
    <w:p w14:paraId="0F4561B4" w14:textId="779068D9" w:rsidR="000A3103" w:rsidRPr="0085020E" w:rsidRDefault="000A3103" w:rsidP="000A3103">
      <w:pPr>
        <w:spacing w:line="360" w:lineRule="auto"/>
        <w:ind w:left="360"/>
        <w:rPr>
          <w:rFonts w:cstheme="minorHAnsi"/>
          <w:color w:val="1F4E79" w:themeColor="accent1" w:themeShade="80"/>
          <w:sz w:val="28"/>
        </w:rPr>
      </w:pPr>
      <w:r w:rsidRPr="0085020E">
        <w:rPr>
          <w:rFonts w:cstheme="minorHAnsi"/>
          <w:color w:val="1F4E79" w:themeColor="accent1" w:themeShade="80"/>
          <w:sz w:val="28"/>
        </w:rPr>
        <w:lastRenderedPageBreak/>
        <w:t>THE SIMPLE BREAKDOWN:</w:t>
      </w:r>
    </w:p>
    <w:p w14:paraId="7A3A83D4" w14:textId="6001F97D" w:rsidR="0085020E" w:rsidRPr="0085020E" w:rsidRDefault="0085020E" w:rsidP="0085020E">
      <w:pPr>
        <w:pStyle w:val="ListParagraph"/>
        <w:spacing w:line="300" w:lineRule="auto"/>
        <w:rPr>
          <w:rFonts w:cstheme="minorHAnsi"/>
          <w:color w:val="1F4E79" w:themeColor="accent1" w:themeShade="80"/>
          <w:sz w:val="20"/>
          <w:szCs w:val="20"/>
        </w:rPr>
      </w:pPr>
      <w:r w:rsidRPr="0085020E">
        <w:rPr>
          <w:rFonts w:cstheme="minorHAnsi"/>
          <w:color w:val="1F4E79" w:themeColor="accent1" w:themeShade="80"/>
          <w:sz w:val="20"/>
          <w:szCs w:val="20"/>
        </w:rPr>
        <w:t>Amount</w:t>
      </w:r>
      <w:r w:rsidRPr="0085020E">
        <w:rPr>
          <w:rFonts w:cstheme="minorHAnsi"/>
          <w:color w:val="1F4E79" w:themeColor="accent1" w:themeShade="80"/>
          <w:sz w:val="20"/>
          <w:szCs w:val="20"/>
        </w:rPr>
        <w:tab/>
      </w:r>
      <w:r w:rsidRPr="0085020E">
        <w:rPr>
          <w:rFonts w:cstheme="minorHAnsi"/>
          <w:color w:val="1F4E79" w:themeColor="accent1" w:themeShade="80"/>
          <w:sz w:val="20"/>
          <w:szCs w:val="20"/>
        </w:rPr>
        <w:tab/>
      </w:r>
      <w:r w:rsidRPr="00034725">
        <w:rPr>
          <w:rFonts w:cstheme="minorHAnsi"/>
          <w:color w:val="1F4E79" w:themeColor="accent1" w:themeShade="80"/>
          <w:sz w:val="20"/>
          <w:szCs w:val="20"/>
        </w:rPr>
        <w:tab/>
      </w:r>
      <w:r w:rsidRPr="0085020E">
        <w:rPr>
          <w:rFonts w:cstheme="minorHAnsi"/>
          <w:color w:val="1F4E79" w:themeColor="accent1" w:themeShade="80"/>
          <w:sz w:val="20"/>
          <w:szCs w:val="20"/>
        </w:rPr>
        <w:t>Investment</w:t>
      </w:r>
      <w:r w:rsidRPr="0085020E">
        <w:rPr>
          <w:rFonts w:cstheme="minorHAnsi"/>
          <w:color w:val="1F4E79" w:themeColor="accent1" w:themeShade="80"/>
          <w:sz w:val="20"/>
          <w:szCs w:val="20"/>
        </w:rPr>
        <w:tab/>
      </w:r>
      <w:r w:rsidRPr="0085020E">
        <w:rPr>
          <w:rFonts w:cstheme="minorHAnsi"/>
          <w:color w:val="1F4E79" w:themeColor="accent1" w:themeShade="80"/>
          <w:sz w:val="20"/>
          <w:szCs w:val="20"/>
        </w:rPr>
        <w:tab/>
        <w:t xml:space="preserve">   Risk Type </w:t>
      </w:r>
      <w:r w:rsidRPr="0085020E">
        <w:rPr>
          <w:rFonts w:cstheme="minorHAnsi"/>
          <w:color w:val="1F4E79" w:themeColor="accent1" w:themeShade="80"/>
          <w:sz w:val="20"/>
          <w:szCs w:val="20"/>
        </w:rPr>
        <w:tab/>
      </w:r>
      <w:r w:rsidRPr="0085020E">
        <w:rPr>
          <w:rFonts w:cstheme="minorHAnsi"/>
          <w:color w:val="1F4E79" w:themeColor="accent1" w:themeShade="80"/>
          <w:sz w:val="20"/>
          <w:szCs w:val="20"/>
        </w:rPr>
        <w:tab/>
        <w:t>Potential Total Return</w:t>
      </w:r>
    </w:p>
    <w:p w14:paraId="059AF4FA" w14:textId="51283549" w:rsidR="0085020E" w:rsidRPr="0085020E" w:rsidRDefault="0085020E" w:rsidP="0085020E">
      <w:pPr>
        <w:pStyle w:val="ListParagraph"/>
        <w:spacing w:line="300" w:lineRule="auto"/>
        <w:rPr>
          <w:rFonts w:cstheme="minorHAnsi"/>
        </w:rPr>
      </w:pPr>
      <w:r w:rsidRPr="0085020E">
        <w:rPr>
          <w:rFonts w:cstheme="minorHAnsi"/>
        </w:rPr>
        <w:t>$</w:t>
      </w:r>
      <w:r w:rsidR="00BF07E4">
        <w:rPr>
          <w:rFonts w:cstheme="minorHAnsi"/>
        </w:rPr>
        <w:t>2.4</w:t>
      </w:r>
      <w:r w:rsidR="005D0A4C">
        <w:rPr>
          <w:rFonts w:cstheme="minorHAnsi"/>
        </w:rPr>
        <w:t>M</w:t>
      </w:r>
      <w:r w:rsidRPr="0085020E">
        <w:rPr>
          <w:rFonts w:cstheme="minorHAnsi"/>
        </w:rPr>
        <w:tab/>
      </w:r>
      <w:r w:rsidR="00034725">
        <w:rPr>
          <w:rFonts w:cstheme="minorHAnsi"/>
        </w:rPr>
        <w:t xml:space="preserve">          </w:t>
      </w:r>
      <w:r w:rsidR="0045086F">
        <w:rPr>
          <w:rFonts w:cstheme="minorHAnsi"/>
        </w:rPr>
        <w:t xml:space="preserve"> </w:t>
      </w:r>
      <w:r w:rsidR="005D0A4C">
        <w:rPr>
          <w:rFonts w:cstheme="minorHAnsi"/>
        </w:rPr>
        <w:t xml:space="preserve"> </w:t>
      </w:r>
      <w:r w:rsidR="005D0A4C">
        <w:rPr>
          <w:rFonts w:cstheme="minorHAnsi"/>
        </w:rPr>
        <w:tab/>
        <w:t xml:space="preserve">            </w:t>
      </w:r>
      <w:r w:rsidRPr="0085020E">
        <w:rPr>
          <w:rFonts w:cstheme="minorHAnsi"/>
        </w:rPr>
        <w:t>Annuity (Hybrid)</w:t>
      </w:r>
      <w:r w:rsidRPr="0085020E">
        <w:rPr>
          <w:rFonts w:cstheme="minorHAnsi"/>
        </w:rPr>
        <w:tab/>
      </w:r>
      <w:r w:rsidRPr="0085020E">
        <w:rPr>
          <w:rFonts w:cstheme="minorHAnsi"/>
        </w:rPr>
        <w:tab/>
        <w:t xml:space="preserve">         </w:t>
      </w:r>
      <w:r w:rsidR="00476B61">
        <w:rPr>
          <w:rFonts w:cstheme="minorHAnsi"/>
        </w:rPr>
        <w:t xml:space="preserve">  </w:t>
      </w:r>
      <w:r w:rsidRPr="0085020E">
        <w:rPr>
          <w:rFonts w:cstheme="minorHAnsi"/>
        </w:rPr>
        <w:t xml:space="preserve">L </w:t>
      </w:r>
      <w:r w:rsidRPr="0085020E">
        <w:rPr>
          <w:rFonts w:cstheme="minorHAnsi"/>
        </w:rPr>
        <w:tab/>
      </w:r>
      <w:r w:rsidRPr="0085020E">
        <w:rPr>
          <w:rFonts w:cstheme="minorHAnsi"/>
        </w:rPr>
        <w:tab/>
      </w:r>
      <w:r w:rsidR="00034725">
        <w:rPr>
          <w:rFonts w:cstheme="minorHAnsi"/>
        </w:rPr>
        <w:t xml:space="preserve">             </w:t>
      </w:r>
      <w:r w:rsidRPr="0085020E">
        <w:rPr>
          <w:rFonts w:cstheme="minorHAnsi"/>
        </w:rPr>
        <w:t xml:space="preserve"> 4 – 7% w/ gains locked in</w:t>
      </w:r>
    </w:p>
    <w:p w14:paraId="24B4C8AE" w14:textId="721241F3" w:rsidR="0085020E" w:rsidRPr="0085020E" w:rsidRDefault="0085020E" w:rsidP="0085020E">
      <w:pPr>
        <w:pStyle w:val="ListParagraph"/>
        <w:spacing w:line="300" w:lineRule="auto"/>
        <w:rPr>
          <w:rFonts w:cstheme="minorHAnsi"/>
        </w:rPr>
      </w:pPr>
      <w:r w:rsidRPr="0085020E">
        <w:rPr>
          <w:rFonts w:cstheme="minorHAnsi"/>
        </w:rPr>
        <w:t>$</w:t>
      </w:r>
      <w:r w:rsidR="00BF07E4">
        <w:rPr>
          <w:rFonts w:cstheme="minorHAnsi"/>
        </w:rPr>
        <w:t>3.6</w:t>
      </w:r>
      <w:r w:rsidR="00476B61">
        <w:rPr>
          <w:rFonts w:cstheme="minorHAnsi"/>
        </w:rPr>
        <w:t>M - $</w:t>
      </w:r>
      <w:r w:rsidR="00BF07E4">
        <w:rPr>
          <w:rFonts w:cstheme="minorHAnsi"/>
        </w:rPr>
        <w:t>4</w:t>
      </w:r>
      <w:r w:rsidR="00476B61">
        <w:rPr>
          <w:rFonts w:cstheme="minorHAnsi"/>
        </w:rPr>
        <w:t>M</w:t>
      </w:r>
      <w:r w:rsidRPr="0085020E">
        <w:rPr>
          <w:rFonts w:cstheme="minorHAnsi"/>
        </w:rPr>
        <w:t xml:space="preserve">   </w:t>
      </w:r>
      <w:r w:rsidR="00034725">
        <w:rPr>
          <w:rFonts w:cstheme="minorHAnsi"/>
        </w:rPr>
        <w:t xml:space="preserve">     </w:t>
      </w:r>
      <w:r w:rsidR="00476B61">
        <w:rPr>
          <w:rFonts w:cstheme="minorHAnsi"/>
        </w:rPr>
        <w:t xml:space="preserve">      </w:t>
      </w:r>
      <w:r w:rsidRPr="0085020E">
        <w:rPr>
          <w:rFonts w:cstheme="minorHAnsi"/>
        </w:rPr>
        <w:t>Alternatives (Growth</w:t>
      </w:r>
      <w:r w:rsidR="0045086F">
        <w:rPr>
          <w:rFonts w:cstheme="minorHAnsi"/>
        </w:rPr>
        <w:t xml:space="preserve"> &amp; </w:t>
      </w:r>
      <w:r w:rsidR="00E52587">
        <w:rPr>
          <w:rFonts w:cstheme="minorHAnsi"/>
        </w:rPr>
        <w:t>Income</w:t>
      </w:r>
      <w:r w:rsidR="00E52587" w:rsidRPr="0085020E">
        <w:rPr>
          <w:rFonts w:cstheme="minorHAnsi"/>
        </w:rPr>
        <w:t xml:space="preserve">)  </w:t>
      </w:r>
      <w:r w:rsidRPr="0085020E">
        <w:rPr>
          <w:rFonts w:cstheme="minorHAnsi"/>
        </w:rPr>
        <w:t xml:space="preserve">       </w:t>
      </w:r>
      <w:r w:rsidR="00E52587">
        <w:rPr>
          <w:rFonts w:cstheme="minorHAnsi"/>
        </w:rPr>
        <w:t xml:space="preserve">    </w:t>
      </w:r>
      <w:r w:rsidRPr="0085020E">
        <w:rPr>
          <w:rFonts w:cstheme="minorHAnsi"/>
        </w:rPr>
        <w:t>B</w:t>
      </w:r>
      <w:r w:rsidRPr="0085020E">
        <w:rPr>
          <w:rFonts w:cstheme="minorHAnsi"/>
        </w:rPr>
        <w:tab/>
      </w:r>
      <w:r w:rsidRPr="0085020E">
        <w:rPr>
          <w:rFonts w:cstheme="minorHAnsi"/>
        </w:rPr>
        <w:tab/>
      </w:r>
      <w:r w:rsidR="00034725">
        <w:rPr>
          <w:rFonts w:cstheme="minorHAnsi"/>
        </w:rPr>
        <w:t xml:space="preserve">                         </w:t>
      </w:r>
      <w:r w:rsidR="00E52587">
        <w:rPr>
          <w:rFonts w:cstheme="minorHAnsi"/>
        </w:rPr>
        <w:t xml:space="preserve"> </w:t>
      </w:r>
      <w:r w:rsidRPr="0085020E">
        <w:rPr>
          <w:rFonts w:cstheme="minorHAnsi"/>
        </w:rPr>
        <w:t>14 – 23%</w:t>
      </w:r>
    </w:p>
    <w:p w14:paraId="468374FB" w14:textId="67CB4AB8" w:rsidR="0085020E" w:rsidRPr="0085020E" w:rsidRDefault="0085020E" w:rsidP="0085020E">
      <w:pPr>
        <w:pStyle w:val="ListParagraph"/>
        <w:spacing w:line="300" w:lineRule="auto"/>
        <w:rPr>
          <w:rFonts w:cstheme="minorHAnsi"/>
        </w:rPr>
      </w:pPr>
      <w:r w:rsidRPr="0085020E">
        <w:rPr>
          <w:rFonts w:cstheme="minorHAnsi"/>
        </w:rPr>
        <w:t>$</w:t>
      </w:r>
      <w:r w:rsidR="00E52587">
        <w:rPr>
          <w:rFonts w:cstheme="minorHAnsi"/>
        </w:rPr>
        <w:t>1.6M</w:t>
      </w:r>
      <w:r w:rsidR="00476B61">
        <w:rPr>
          <w:rFonts w:cstheme="minorHAnsi"/>
        </w:rPr>
        <w:t xml:space="preserve"> - $</w:t>
      </w:r>
      <w:r w:rsidR="00E52587">
        <w:rPr>
          <w:rFonts w:cstheme="minorHAnsi"/>
        </w:rPr>
        <w:t>2M</w:t>
      </w:r>
      <w:r w:rsidRPr="0085020E">
        <w:rPr>
          <w:rFonts w:cstheme="minorHAnsi"/>
        </w:rPr>
        <w:t xml:space="preserve">    </w:t>
      </w:r>
      <w:r w:rsidR="00476B61">
        <w:rPr>
          <w:rFonts w:cstheme="minorHAnsi"/>
        </w:rPr>
        <w:t xml:space="preserve">    </w:t>
      </w:r>
      <w:r w:rsidR="00E52587">
        <w:rPr>
          <w:rFonts w:cstheme="minorHAnsi"/>
        </w:rPr>
        <w:t xml:space="preserve">    </w:t>
      </w:r>
      <w:r w:rsidRPr="0085020E">
        <w:rPr>
          <w:rFonts w:cstheme="minorHAnsi"/>
        </w:rPr>
        <w:t xml:space="preserve">Actively Traded </w:t>
      </w:r>
      <w:r w:rsidR="00034725">
        <w:rPr>
          <w:rFonts w:cstheme="minorHAnsi"/>
        </w:rPr>
        <w:t xml:space="preserve">Market </w:t>
      </w:r>
      <w:r w:rsidRPr="0085020E">
        <w:rPr>
          <w:rFonts w:cstheme="minorHAnsi"/>
        </w:rPr>
        <w:t>(</w:t>
      </w:r>
      <w:r w:rsidR="00476B61" w:rsidRPr="0085020E">
        <w:rPr>
          <w:rFonts w:cstheme="minorHAnsi"/>
        </w:rPr>
        <w:t>Growt</w:t>
      </w:r>
      <w:r w:rsidR="00476B61">
        <w:rPr>
          <w:rFonts w:cstheme="minorHAnsi"/>
        </w:rPr>
        <w:t>h</w:t>
      </w:r>
      <w:r w:rsidR="00476B61" w:rsidRPr="0085020E">
        <w:rPr>
          <w:rFonts w:cstheme="minorHAnsi"/>
        </w:rPr>
        <w:t xml:space="preserve">)  </w:t>
      </w:r>
      <w:r w:rsidRPr="0085020E">
        <w:rPr>
          <w:rFonts w:cstheme="minorHAnsi"/>
        </w:rPr>
        <w:t xml:space="preserve">         </w:t>
      </w:r>
      <w:r w:rsidR="00034725">
        <w:rPr>
          <w:rFonts w:cstheme="minorHAnsi"/>
        </w:rPr>
        <w:t xml:space="preserve">  </w:t>
      </w:r>
      <w:r w:rsidRPr="0085020E">
        <w:rPr>
          <w:rFonts w:cstheme="minorHAnsi"/>
        </w:rPr>
        <w:t xml:space="preserve">M                       </w:t>
      </w:r>
      <w:r w:rsidR="00034725">
        <w:rPr>
          <w:rFonts w:cstheme="minorHAnsi"/>
        </w:rPr>
        <w:t xml:space="preserve">                   </w:t>
      </w:r>
      <w:r w:rsidRPr="0085020E">
        <w:rPr>
          <w:rFonts w:cstheme="minorHAnsi"/>
        </w:rPr>
        <w:t xml:space="preserve"> 7 – 14%</w:t>
      </w:r>
    </w:p>
    <w:p w14:paraId="70DF7F33" w14:textId="3F6B3731" w:rsidR="000A3103" w:rsidRDefault="000A3103" w:rsidP="0085020E">
      <w:pPr>
        <w:pStyle w:val="ListParagraph"/>
        <w:spacing w:line="300" w:lineRule="auto"/>
        <w:rPr>
          <w:rFonts w:cstheme="minorHAnsi"/>
        </w:rPr>
      </w:pPr>
    </w:p>
    <w:p w14:paraId="445F52C3" w14:textId="77777777" w:rsidR="00E52587" w:rsidRDefault="00E52587" w:rsidP="0011131D">
      <w:pPr>
        <w:spacing w:line="360" w:lineRule="auto"/>
        <w:ind w:left="360"/>
        <w:rPr>
          <w:rFonts w:cstheme="minorHAnsi"/>
          <w:color w:val="1F4E79" w:themeColor="accent1" w:themeShade="80"/>
          <w:sz w:val="28"/>
        </w:rPr>
      </w:pPr>
    </w:p>
    <w:p w14:paraId="45093081" w14:textId="7CFE5712" w:rsidR="0011131D" w:rsidRDefault="0011131D" w:rsidP="0011131D">
      <w:pPr>
        <w:spacing w:line="360" w:lineRule="auto"/>
        <w:ind w:left="360"/>
        <w:rPr>
          <w:rFonts w:cstheme="minorHAnsi"/>
          <w:color w:val="1F4E79" w:themeColor="accent1" w:themeShade="80"/>
          <w:sz w:val="28"/>
        </w:rPr>
      </w:pPr>
      <w:r>
        <w:rPr>
          <w:rFonts w:cstheme="minorHAnsi"/>
          <w:color w:val="1F4E79" w:themeColor="accent1" w:themeShade="80"/>
          <w:sz w:val="28"/>
        </w:rPr>
        <w:t>INCOME STRATEGY</w:t>
      </w:r>
      <w:r w:rsidRPr="0085020E">
        <w:rPr>
          <w:rFonts w:cstheme="minorHAnsi"/>
          <w:color w:val="1F4E79" w:themeColor="accent1" w:themeShade="80"/>
          <w:sz w:val="28"/>
        </w:rPr>
        <w:t>:</w:t>
      </w:r>
    </w:p>
    <w:p w14:paraId="22D1E290" w14:textId="655DF90F" w:rsidR="0011131D" w:rsidRDefault="00690B21" w:rsidP="0011131D">
      <w:pPr>
        <w:spacing w:line="360" w:lineRule="auto"/>
        <w:ind w:left="360"/>
        <w:rPr>
          <w:rFonts w:cstheme="minorHAnsi"/>
          <w:color w:val="000000" w:themeColor="text1"/>
        </w:rPr>
      </w:pPr>
      <w:r>
        <w:rPr>
          <w:rFonts w:cstheme="minorHAnsi"/>
          <w:color w:val="000000" w:themeColor="text1"/>
        </w:rPr>
        <w:t xml:space="preserve">The income strategy we have designed for your portfolio will be generated from real estate &amp; private equity managed in your Charles Schwab accounts. There will be additional liquidity available from the equity indexed annuities as well. </w:t>
      </w:r>
      <w:r w:rsidR="00323CF7">
        <w:rPr>
          <w:rFonts w:cstheme="minorHAnsi"/>
          <w:color w:val="000000" w:themeColor="text1"/>
        </w:rPr>
        <w:t>With the</w:t>
      </w:r>
      <w:r w:rsidR="00E509F1">
        <w:rPr>
          <w:rFonts w:cstheme="minorHAnsi"/>
          <w:color w:val="000000" w:themeColor="text1"/>
        </w:rPr>
        <w:t>se</w:t>
      </w:r>
      <w:r w:rsidR="00323CF7">
        <w:rPr>
          <w:rFonts w:cstheme="minorHAnsi"/>
          <w:color w:val="000000" w:themeColor="text1"/>
        </w:rPr>
        <w:t xml:space="preserve"> </w:t>
      </w:r>
      <w:r w:rsidR="00E509F1">
        <w:rPr>
          <w:rFonts w:cstheme="minorHAnsi"/>
          <w:color w:val="000000" w:themeColor="text1"/>
        </w:rPr>
        <w:t xml:space="preserve">improvements </w:t>
      </w:r>
      <w:r w:rsidR="00323CF7">
        <w:rPr>
          <w:rFonts w:cstheme="minorHAnsi"/>
          <w:color w:val="000000" w:themeColor="text1"/>
        </w:rPr>
        <w:t xml:space="preserve">to the </w:t>
      </w:r>
      <w:r w:rsidR="00E509F1">
        <w:rPr>
          <w:rFonts w:cstheme="minorHAnsi"/>
          <w:color w:val="000000" w:themeColor="text1"/>
        </w:rPr>
        <w:t xml:space="preserve">portfolio, </w:t>
      </w:r>
      <w:r w:rsidR="00323CF7">
        <w:rPr>
          <w:rFonts w:cstheme="minorHAnsi"/>
          <w:color w:val="000000" w:themeColor="text1"/>
        </w:rPr>
        <w:t xml:space="preserve">we estimate your annual income generated from real estate &amp; private equity </w:t>
      </w:r>
      <w:r w:rsidR="00E554B5">
        <w:rPr>
          <w:rFonts w:cstheme="minorHAnsi"/>
          <w:color w:val="000000" w:themeColor="text1"/>
        </w:rPr>
        <w:t xml:space="preserve">to be </w:t>
      </w:r>
      <w:r w:rsidR="00643B40">
        <w:rPr>
          <w:rFonts w:cstheme="minorHAnsi"/>
          <w:color w:val="000000" w:themeColor="text1"/>
        </w:rPr>
        <w:t xml:space="preserve">between </w:t>
      </w:r>
      <w:r w:rsidR="00643B40" w:rsidRPr="009C67D9">
        <w:rPr>
          <w:rFonts w:cstheme="minorHAnsi"/>
          <w:color w:val="000000" w:themeColor="text1"/>
          <w:u w:val="single"/>
        </w:rPr>
        <w:t>$</w:t>
      </w:r>
      <w:r w:rsidR="00375544">
        <w:rPr>
          <w:rFonts w:cstheme="minorHAnsi"/>
          <w:color w:val="000000" w:themeColor="text1"/>
          <w:u w:val="single"/>
        </w:rPr>
        <w:t>250</w:t>
      </w:r>
      <w:r w:rsidR="004C4CBC">
        <w:rPr>
          <w:rFonts w:cstheme="minorHAnsi"/>
          <w:color w:val="000000" w:themeColor="text1"/>
          <w:u w:val="single"/>
        </w:rPr>
        <w:t>,000</w:t>
      </w:r>
      <w:r w:rsidR="00643B40" w:rsidRPr="009C67D9">
        <w:rPr>
          <w:rFonts w:cstheme="minorHAnsi"/>
          <w:color w:val="000000" w:themeColor="text1"/>
          <w:u w:val="single"/>
        </w:rPr>
        <w:t xml:space="preserve"> and $</w:t>
      </w:r>
      <w:r w:rsidR="004C4CBC">
        <w:rPr>
          <w:rFonts w:cstheme="minorHAnsi"/>
          <w:color w:val="000000" w:themeColor="text1"/>
          <w:u w:val="single"/>
        </w:rPr>
        <w:t>275</w:t>
      </w:r>
      <w:r w:rsidR="00643B40" w:rsidRPr="009C67D9">
        <w:rPr>
          <w:rFonts w:cstheme="minorHAnsi"/>
          <w:color w:val="000000" w:themeColor="text1"/>
          <w:u w:val="single"/>
        </w:rPr>
        <w:t>,000</w:t>
      </w:r>
      <w:r w:rsidR="00E509F1">
        <w:rPr>
          <w:rFonts w:cstheme="minorHAnsi"/>
          <w:color w:val="000000" w:themeColor="text1"/>
        </w:rPr>
        <w:t xml:space="preserve">. This amount is solely based </w:t>
      </w:r>
      <w:r w:rsidR="005719EB">
        <w:rPr>
          <w:rFonts w:cstheme="minorHAnsi"/>
          <w:color w:val="000000" w:themeColor="text1"/>
        </w:rPr>
        <w:t>off</w:t>
      </w:r>
      <w:r w:rsidR="00E509F1">
        <w:rPr>
          <w:rFonts w:cstheme="minorHAnsi"/>
          <w:color w:val="000000" w:themeColor="text1"/>
        </w:rPr>
        <w:t xml:space="preserve"> interest through distributions and does not include the capital appreciation </w:t>
      </w:r>
      <w:r w:rsidR="005719EB">
        <w:rPr>
          <w:rFonts w:cstheme="minorHAnsi"/>
          <w:color w:val="000000" w:themeColor="text1"/>
        </w:rPr>
        <w:t>from these investments.</w:t>
      </w:r>
      <w:r w:rsidR="00E509F1">
        <w:rPr>
          <w:rFonts w:cstheme="minorHAnsi"/>
          <w:color w:val="000000" w:themeColor="text1"/>
        </w:rPr>
        <w:t xml:space="preserve"> Once you begin taking social security, we can modify the monthly amount withdrawn from Charles Schwab to best suit your needs. Please see the breakdown of distributions below:</w:t>
      </w:r>
    </w:p>
    <w:p w14:paraId="1B69E12C" w14:textId="2C981D26" w:rsidR="00E509F1" w:rsidRPr="005719EB" w:rsidRDefault="00E509F1" w:rsidP="0011131D">
      <w:pPr>
        <w:spacing w:line="360" w:lineRule="auto"/>
        <w:ind w:left="360"/>
        <w:rPr>
          <w:rFonts w:cstheme="minorHAnsi"/>
          <w:color w:val="1F4E79" w:themeColor="accent1" w:themeShade="80"/>
          <w:sz w:val="20"/>
          <w:szCs w:val="20"/>
        </w:rPr>
      </w:pPr>
      <w:r>
        <w:rPr>
          <w:rFonts w:cstheme="minorHAnsi"/>
          <w:color w:val="000000" w:themeColor="text1"/>
        </w:rPr>
        <w:tab/>
      </w:r>
      <w:r w:rsidRPr="005719EB">
        <w:rPr>
          <w:rFonts w:cstheme="minorHAnsi"/>
          <w:color w:val="1F4E79" w:themeColor="accent1" w:themeShade="80"/>
          <w:sz w:val="20"/>
          <w:szCs w:val="20"/>
        </w:rPr>
        <w:t xml:space="preserve">Investment </w:t>
      </w:r>
      <w:r w:rsidR="005719EB">
        <w:rPr>
          <w:rFonts w:cstheme="minorHAnsi"/>
          <w:color w:val="1F4E79" w:themeColor="accent1" w:themeShade="80"/>
          <w:sz w:val="20"/>
          <w:szCs w:val="20"/>
        </w:rPr>
        <w:tab/>
      </w:r>
      <w:r w:rsidR="005719EB">
        <w:rPr>
          <w:rFonts w:cstheme="minorHAnsi"/>
          <w:color w:val="1F4E79" w:themeColor="accent1" w:themeShade="80"/>
          <w:sz w:val="20"/>
          <w:szCs w:val="20"/>
        </w:rPr>
        <w:tab/>
      </w:r>
      <w:r w:rsidR="005719EB">
        <w:rPr>
          <w:rFonts w:cstheme="minorHAnsi"/>
          <w:color w:val="1F4E79" w:themeColor="accent1" w:themeShade="80"/>
          <w:sz w:val="20"/>
          <w:szCs w:val="20"/>
        </w:rPr>
        <w:tab/>
      </w:r>
      <w:r w:rsidR="005719EB">
        <w:rPr>
          <w:rFonts w:cstheme="minorHAnsi"/>
          <w:color w:val="1F4E79" w:themeColor="accent1" w:themeShade="80"/>
          <w:sz w:val="20"/>
          <w:szCs w:val="20"/>
        </w:rPr>
        <w:tab/>
        <w:t xml:space="preserve">Initial Investment </w:t>
      </w:r>
      <w:r w:rsidR="005719EB">
        <w:rPr>
          <w:rFonts w:cstheme="minorHAnsi"/>
          <w:color w:val="1F4E79" w:themeColor="accent1" w:themeShade="80"/>
          <w:sz w:val="20"/>
          <w:szCs w:val="20"/>
        </w:rPr>
        <w:tab/>
      </w:r>
      <w:r w:rsidR="005719EB">
        <w:rPr>
          <w:rFonts w:cstheme="minorHAnsi"/>
          <w:color w:val="1F4E79" w:themeColor="accent1" w:themeShade="80"/>
          <w:sz w:val="20"/>
          <w:szCs w:val="20"/>
        </w:rPr>
        <w:tab/>
        <w:t>Annual Distribution</w:t>
      </w:r>
    </w:p>
    <w:p w14:paraId="1797438D" w14:textId="6861DD30" w:rsidR="00E509F1" w:rsidRDefault="00E509F1" w:rsidP="00E509F1">
      <w:pPr>
        <w:spacing w:line="360" w:lineRule="auto"/>
        <w:ind w:left="360" w:firstLine="360"/>
        <w:rPr>
          <w:rFonts w:cstheme="minorHAnsi"/>
          <w:b/>
          <w:bCs/>
          <w:color w:val="000000" w:themeColor="text1"/>
        </w:rPr>
      </w:pPr>
      <w:r>
        <w:rPr>
          <w:rFonts w:cstheme="minorHAnsi"/>
          <w:b/>
          <w:bCs/>
          <w:color w:val="000000" w:themeColor="text1"/>
        </w:rPr>
        <w:t xml:space="preserve">Madison Capital Group South End </w:t>
      </w:r>
      <w:r w:rsidR="005719EB">
        <w:rPr>
          <w:rFonts w:cstheme="minorHAnsi"/>
          <w:b/>
          <w:bCs/>
          <w:color w:val="000000" w:themeColor="text1"/>
        </w:rPr>
        <w:tab/>
        <w:t>$</w:t>
      </w:r>
      <w:r w:rsidR="00F50374">
        <w:rPr>
          <w:rFonts w:cstheme="minorHAnsi"/>
          <w:b/>
          <w:bCs/>
          <w:color w:val="000000" w:themeColor="text1"/>
        </w:rPr>
        <w:t>7</w:t>
      </w:r>
      <w:r w:rsidR="00E52587">
        <w:rPr>
          <w:rFonts w:cstheme="minorHAnsi"/>
          <w:b/>
          <w:bCs/>
          <w:color w:val="000000" w:themeColor="text1"/>
        </w:rPr>
        <w:t>00k</w:t>
      </w:r>
      <w:r w:rsidR="005719EB">
        <w:rPr>
          <w:rFonts w:cstheme="minorHAnsi"/>
          <w:b/>
          <w:bCs/>
          <w:color w:val="000000" w:themeColor="text1"/>
        </w:rPr>
        <w:tab/>
      </w:r>
      <w:r w:rsidR="005719EB">
        <w:rPr>
          <w:rFonts w:cstheme="minorHAnsi"/>
          <w:b/>
          <w:bCs/>
          <w:color w:val="000000" w:themeColor="text1"/>
        </w:rPr>
        <w:tab/>
      </w:r>
      <w:r w:rsidR="005719EB">
        <w:rPr>
          <w:rFonts w:cstheme="minorHAnsi"/>
          <w:b/>
          <w:bCs/>
          <w:color w:val="000000" w:themeColor="text1"/>
        </w:rPr>
        <w:tab/>
      </w:r>
      <w:r w:rsidR="005719EB">
        <w:rPr>
          <w:rFonts w:cstheme="minorHAnsi"/>
          <w:b/>
          <w:bCs/>
          <w:color w:val="000000" w:themeColor="text1"/>
        </w:rPr>
        <w:tab/>
        <w:t xml:space="preserve">10% </w:t>
      </w:r>
    </w:p>
    <w:p w14:paraId="0D6F6776" w14:textId="3257E03A" w:rsidR="00375544" w:rsidRDefault="00375544" w:rsidP="00E509F1">
      <w:pPr>
        <w:spacing w:line="360" w:lineRule="auto"/>
        <w:ind w:left="360" w:firstLine="360"/>
        <w:rPr>
          <w:rFonts w:cstheme="minorHAnsi"/>
          <w:b/>
          <w:bCs/>
          <w:color w:val="000000" w:themeColor="text1"/>
        </w:rPr>
      </w:pPr>
      <w:r>
        <w:rPr>
          <w:rFonts w:cstheme="minorHAnsi"/>
          <w:b/>
          <w:bCs/>
          <w:color w:val="000000" w:themeColor="text1"/>
        </w:rPr>
        <w:t xml:space="preserve">Madison Multifamily </w:t>
      </w:r>
      <w:r>
        <w:rPr>
          <w:rFonts w:cstheme="minorHAnsi"/>
          <w:b/>
          <w:bCs/>
          <w:color w:val="000000" w:themeColor="text1"/>
        </w:rPr>
        <w:tab/>
      </w:r>
      <w:r>
        <w:rPr>
          <w:rFonts w:cstheme="minorHAnsi"/>
          <w:b/>
          <w:bCs/>
          <w:color w:val="000000" w:themeColor="text1"/>
        </w:rPr>
        <w:tab/>
      </w:r>
      <w:r>
        <w:rPr>
          <w:rFonts w:cstheme="minorHAnsi"/>
          <w:b/>
          <w:bCs/>
          <w:color w:val="000000" w:themeColor="text1"/>
        </w:rPr>
        <w:tab/>
        <w:t>$700k</w:t>
      </w:r>
      <w:r>
        <w:rPr>
          <w:rFonts w:cstheme="minorHAnsi"/>
          <w:b/>
          <w:bCs/>
          <w:color w:val="000000" w:themeColor="text1"/>
        </w:rPr>
        <w:tab/>
      </w:r>
      <w:r>
        <w:rPr>
          <w:rFonts w:cstheme="minorHAnsi"/>
          <w:b/>
          <w:bCs/>
          <w:color w:val="000000" w:themeColor="text1"/>
        </w:rPr>
        <w:tab/>
      </w:r>
      <w:r>
        <w:rPr>
          <w:rFonts w:cstheme="minorHAnsi"/>
          <w:b/>
          <w:bCs/>
          <w:color w:val="000000" w:themeColor="text1"/>
        </w:rPr>
        <w:tab/>
      </w:r>
      <w:r>
        <w:rPr>
          <w:rFonts w:cstheme="minorHAnsi"/>
          <w:b/>
          <w:bCs/>
          <w:color w:val="000000" w:themeColor="text1"/>
        </w:rPr>
        <w:tab/>
        <w:t>6 – 7%</w:t>
      </w:r>
    </w:p>
    <w:p w14:paraId="1E633988" w14:textId="33ED285D" w:rsidR="005719EB" w:rsidRDefault="005719EB" w:rsidP="00E509F1">
      <w:pPr>
        <w:spacing w:line="360" w:lineRule="auto"/>
        <w:ind w:left="360" w:firstLine="360"/>
        <w:rPr>
          <w:rFonts w:cstheme="minorHAnsi"/>
          <w:b/>
          <w:bCs/>
          <w:color w:val="000000" w:themeColor="text1"/>
        </w:rPr>
      </w:pPr>
      <w:r>
        <w:rPr>
          <w:rFonts w:cstheme="minorHAnsi"/>
          <w:b/>
          <w:bCs/>
          <w:color w:val="000000" w:themeColor="text1"/>
        </w:rPr>
        <w:t>Mill Green Opportunity Fund VIII</w:t>
      </w:r>
      <w:r>
        <w:rPr>
          <w:rFonts w:cstheme="minorHAnsi"/>
          <w:b/>
          <w:bCs/>
          <w:color w:val="000000" w:themeColor="text1"/>
        </w:rPr>
        <w:tab/>
      </w:r>
      <w:r>
        <w:rPr>
          <w:rFonts w:cstheme="minorHAnsi"/>
          <w:b/>
          <w:bCs/>
          <w:color w:val="000000" w:themeColor="text1"/>
        </w:rPr>
        <w:tab/>
        <w:t>$</w:t>
      </w:r>
      <w:r w:rsidR="00E52587">
        <w:rPr>
          <w:rFonts w:cstheme="minorHAnsi"/>
          <w:b/>
          <w:bCs/>
          <w:color w:val="000000" w:themeColor="text1"/>
        </w:rPr>
        <w:t>500</w:t>
      </w:r>
      <w:r>
        <w:rPr>
          <w:rFonts w:cstheme="minorHAnsi"/>
          <w:b/>
          <w:bCs/>
          <w:color w:val="000000" w:themeColor="text1"/>
        </w:rPr>
        <w:t>k</w:t>
      </w:r>
      <w:r>
        <w:rPr>
          <w:rFonts w:cstheme="minorHAnsi"/>
          <w:b/>
          <w:bCs/>
          <w:color w:val="000000" w:themeColor="text1"/>
        </w:rPr>
        <w:tab/>
      </w:r>
      <w:r>
        <w:rPr>
          <w:rFonts w:cstheme="minorHAnsi"/>
          <w:b/>
          <w:bCs/>
          <w:color w:val="000000" w:themeColor="text1"/>
        </w:rPr>
        <w:tab/>
      </w:r>
      <w:r>
        <w:rPr>
          <w:rFonts w:cstheme="minorHAnsi"/>
          <w:b/>
          <w:bCs/>
          <w:color w:val="000000" w:themeColor="text1"/>
        </w:rPr>
        <w:tab/>
      </w:r>
      <w:r>
        <w:rPr>
          <w:rFonts w:cstheme="minorHAnsi"/>
          <w:b/>
          <w:bCs/>
          <w:color w:val="000000" w:themeColor="text1"/>
        </w:rPr>
        <w:tab/>
      </w:r>
      <w:r w:rsidR="00643B40">
        <w:rPr>
          <w:rFonts w:cstheme="minorHAnsi"/>
          <w:b/>
          <w:bCs/>
          <w:color w:val="000000" w:themeColor="text1"/>
        </w:rPr>
        <w:t>6 – 7%</w:t>
      </w:r>
    </w:p>
    <w:p w14:paraId="0B6EACC3" w14:textId="1DD94631" w:rsidR="00CE1BA2" w:rsidRDefault="00CE1BA2" w:rsidP="00E509F1">
      <w:pPr>
        <w:spacing w:line="360" w:lineRule="auto"/>
        <w:ind w:left="360" w:firstLine="360"/>
        <w:rPr>
          <w:rFonts w:cstheme="minorHAnsi"/>
          <w:b/>
          <w:bCs/>
          <w:color w:val="000000" w:themeColor="text1"/>
        </w:rPr>
      </w:pPr>
      <w:r>
        <w:rPr>
          <w:rFonts w:cstheme="minorHAnsi"/>
          <w:b/>
          <w:bCs/>
          <w:color w:val="000000" w:themeColor="text1"/>
        </w:rPr>
        <w:t>Carter Multifamily Fund VIII</w:t>
      </w:r>
      <w:r>
        <w:rPr>
          <w:rFonts w:cstheme="minorHAnsi"/>
          <w:b/>
          <w:bCs/>
          <w:color w:val="000000" w:themeColor="text1"/>
        </w:rPr>
        <w:tab/>
      </w:r>
      <w:r>
        <w:rPr>
          <w:rFonts w:cstheme="minorHAnsi"/>
          <w:b/>
          <w:bCs/>
          <w:color w:val="000000" w:themeColor="text1"/>
        </w:rPr>
        <w:tab/>
        <w:t>$</w:t>
      </w:r>
      <w:r w:rsidR="00E52587">
        <w:rPr>
          <w:rFonts w:cstheme="minorHAnsi"/>
          <w:b/>
          <w:bCs/>
          <w:color w:val="000000" w:themeColor="text1"/>
        </w:rPr>
        <w:t>500</w:t>
      </w:r>
      <w:r>
        <w:rPr>
          <w:rFonts w:cstheme="minorHAnsi"/>
          <w:b/>
          <w:bCs/>
          <w:color w:val="000000" w:themeColor="text1"/>
        </w:rPr>
        <w:t>k</w:t>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t>6 – 7%</w:t>
      </w:r>
    </w:p>
    <w:p w14:paraId="74966E03" w14:textId="35DFCF7C" w:rsidR="00CE1BA2" w:rsidRDefault="00CE1BA2" w:rsidP="00E509F1">
      <w:pPr>
        <w:spacing w:line="360" w:lineRule="auto"/>
        <w:ind w:left="360" w:firstLine="360"/>
        <w:rPr>
          <w:rFonts w:cstheme="minorHAnsi"/>
          <w:b/>
          <w:bCs/>
          <w:color w:val="000000" w:themeColor="text1"/>
        </w:rPr>
      </w:pPr>
      <w:r>
        <w:rPr>
          <w:rFonts w:cstheme="minorHAnsi"/>
          <w:b/>
          <w:bCs/>
          <w:color w:val="000000" w:themeColor="text1"/>
        </w:rPr>
        <w:t xml:space="preserve">CNL Strategic Capital </w:t>
      </w:r>
      <w:r>
        <w:rPr>
          <w:rFonts w:cstheme="minorHAnsi"/>
          <w:b/>
          <w:bCs/>
          <w:color w:val="000000" w:themeColor="text1"/>
        </w:rPr>
        <w:tab/>
      </w:r>
      <w:r>
        <w:rPr>
          <w:rFonts w:cstheme="minorHAnsi"/>
          <w:b/>
          <w:bCs/>
          <w:color w:val="000000" w:themeColor="text1"/>
        </w:rPr>
        <w:tab/>
      </w:r>
      <w:r>
        <w:rPr>
          <w:rFonts w:cstheme="minorHAnsi"/>
          <w:b/>
          <w:bCs/>
          <w:color w:val="000000" w:themeColor="text1"/>
        </w:rPr>
        <w:tab/>
        <w:t>$</w:t>
      </w:r>
      <w:r w:rsidR="00F50374">
        <w:rPr>
          <w:rFonts w:cstheme="minorHAnsi"/>
          <w:b/>
          <w:bCs/>
          <w:color w:val="000000" w:themeColor="text1"/>
        </w:rPr>
        <w:t>600</w:t>
      </w:r>
      <w:r>
        <w:rPr>
          <w:rFonts w:cstheme="minorHAnsi"/>
          <w:b/>
          <w:bCs/>
          <w:color w:val="000000" w:themeColor="text1"/>
        </w:rPr>
        <w:t>k</w:t>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t>4%</w:t>
      </w:r>
    </w:p>
    <w:p w14:paraId="66278DCE" w14:textId="4E9AB08F" w:rsidR="00F50374" w:rsidRDefault="00F50374" w:rsidP="00E509F1">
      <w:pPr>
        <w:spacing w:line="360" w:lineRule="auto"/>
        <w:ind w:left="360" w:firstLine="360"/>
        <w:rPr>
          <w:rFonts w:cstheme="minorHAnsi"/>
          <w:b/>
          <w:bCs/>
          <w:color w:val="000000" w:themeColor="text1"/>
        </w:rPr>
      </w:pPr>
      <w:r>
        <w:rPr>
          <w:rFonts w:cstheme="minorHAnsi"/>
          <w:b/>
          <w:bCs/>
          <w:color w:val="000000" w:themeColor="text1"/>
        </w:rPr>
        <w:t>CNL Sprott</w:t>
      </w:r>
      <w:r>
        <w:rPr>
          <w:rFonts w:cstheme="minorHAnsi"/>
          <w:b/>
          <w:bCs/>
          <w:color w:val="000000" w:themeColor="text1"/>
        </w:rPr>
        <w:tab/>
      </w:r>
      <w:r>
        <w:rPr>
          <w:rFonts w:cstheme="minorHAnsi"/>
          <w:b/>
          <w:bCs/>
          <w:color w:val="000000" w:themeColor="text1"/>
        </w:rPr>
        <w:tab/>
      </w:r>
      <w:r>
        <w:rPr>
          <w:rFonts w:cstheme="minorHAnsi"/>
          <w:b/>
          <w:bCs/>
          <w:color w:val="000000" w:themeColor="text1"/>
        </w:rPr>
        <w:tab/>
      </w:r>
      <w:r>
        <w:rPr>
          <w:rFonts w:cstheme="minorHAnsi"/>
          <w:b/>
          <w:bCs/>
          <w:color w:val="000000" w:themeColor="text1"/>
        </w:rPr>
        <w:tab/>
        <w:t>$</w:t>
      </w:r>
      <w:r w:rsidR="00375544">
        <w:rPr>
          <w:rFonts w:cstheme="minorHAnsi"/>
          <w:b/>
          <w:bCs/>
          <w:color w:val="000000" w:themeColor="text1"/>
        </w:rPr>
        <w:t>6</w:t>
      </w:r>
      <w:r>
        <w:rPr>
          <w:rFonts w:cstheme="minorHAnsi"/>
          <w:b/>
          <w:bCs/>
          <w:color w:val="000000" w:themeColor="text1"/>
        </w:rPr>
        <w:t>00k</w:t>
      </w:r>
      <w:r w:rsidR="00375544">
        <w:rPr>
          <w:rFonts w:cstheme="minorHAnsi"/>
          <w:b/>
          <w:bCs/>
          <w:color w:val="000000" w:themeColor="text1"/>
        </w:rPr>
        <w:tab/>
      </w:r>
      <w:r w:rsidR="00375544">
        <w:rPr>
          <w:rFonts w:cstheme="minorHAnsi"/>
          <w:b/>
          <w:bCs/>
          <w:color w:val="000000" w:themeColor="text1"/>
        </w:rPr>
        <w:tab/>
      </w:r>
      <w:r w:rsidR="00375544">
        <w:rPr>
          <w:rFonts w:cstheme="minorHAnsi"/>
          <w:b/>
          <w:bCs/>
          <w:color w:val="000000" w:themeColor="text1"/>
        </w:rPr>
        <w:tab/>
      </w:r>
      <w:r w:rsidR="00375544">
        <w:rPr>
          <w:rFonts w:cstheme="minorHAnsi"/>
          <w:b/>
          <w:bCs/>
          <w:color w:val="000000" w:themeColor="text1"/>
        </w:rPr>
        <w:tab/>
        <w:t>5%</w:t>
      </w:r>
    </w:p>
    <w:p w14:paraId="378DE2F0" w14:textId="5E5D3902" w:rsidR="00CE1BA2" w:rsidRDefault="00375544" w:rsidP="00E509F1">
      <w:pPr>
        <w:spacing w:line="360" w:lineRule="auto"/>
        <w:ind w:left="360" w:firstLine="360"/>
        <w:rPr>
          <w:rFonts w:cstheme="minorHAnsi"/>
          <w:b/>
          <w:bCs/>
          <w:color w:val="000000" w:themeColor="text1"/>
        </w:rPr>
      </w:pPr>
      <w:r>
        <w:rPr>
          <w:rFonts w:cstheme="minorHAnsi"/>
          <w:b/>
          <w:bCs/>
          <w:color w:val="000000" w:themeColor="text1"/>
        </w:rPr>
        <w:t>ARCTRUST III</w:t>
      </w:r>
      <w:r>
        <w:rPr>
          <w:rFonts w:cstheme="minorHAnsi"/>
          <w:b/>
          <w:bCs/>
          <w:color w:val="000000" w:themeColor="text1"/>
        </w:rPr>
        <w:tab/>
      </w:r>
      <w:r>
        <w:rPr>
          <w:rFonts w:cstheme="minorHAnsi"/>
          <w:b/>
          <w:bCs/>
          <w:color w:val="000000" w:themeColor="text1"/>
        </w:rPr>
        <w:tab/>
      </w:r>
      <w:r w:rsidR="00CE1BA2">
        <w:rPr>
          <w:rFonts w:cstheme="minorHAnsi"/>
          <w:b/>
          <w:bCs/>
          <w:color w:val="000000" w:themeColor="text1"/>
        </w:rPr>
        <w:tab/>
      </w:r>
      <w:r w:rsidR="00CE1BA2">
        <w:rPr>
          <w:rFonts w:cstheme="minorHAnsi"/>
          <w:b/>
          <w:bCs/>
          <w:color w:val="000000" w:themeColor="text1"/>
        </w:rPr>
        <w:tab/>
        <w:t>$</w:t>
      </w:r>
      <w:r>
        <w:rPr>
          <w:rFonts w:cstheme="minorHAnsi"/>
          <w:b/>
          <w:bCs/>
          <w:color w:val="000000" w:themeColor="text1"/>
        </w:rPr>
        <w:t>4</w:t>
      </w:r>
      <w:r w:rsidR="00CE1BA2">
        <w:rPr>
          <w:rFonts w:cstheme="minorHAnsi"/>
          <w:b/>
          <w:bCs/>
          <w:color w:val="000000" w:themeColor="text1"/>
        </w:rPr>
        <w:t>00k</w:t>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r>
      <w:r w:rsidR="00643B40">
        <w:rPr>
          <w:rFonts w:cstheme="minorHAnsi"/>
          <w:b/>
          <w:bCs/>
          <w:color w:val="000000" w:themeColor="text1"/>
        </w:rPr>
        <w:tab/>
        <w:t>6 – 7%</w:t>
      </w:r>
    </w:p>
    <w:p w14:paraId="7BDFCBBF" w14:textId="77777777" w:rsidR="00CE1BA2" w:rsidRDefault="00CE1BA2" w:rsidP="00E509F1">
      <w:pPr>
        <w:spacing w:line="360" w:lineRule="auto"/>
        <w:ind w:left="360" w:firstLine="360"/>
        <w:rPr>
          <w:rFonts w:cstheme="minorHAnsi"/>
          <w:b/>
          <w:bCs/>
          <w:color w:val="000000" w:themeColor="text1"/>
        </w:rPr>
      </w:pPr>
    </w:p>
    <w:p w14:paraId="1CEBF219" w14:textId="77777777" w:rsidR="005719EB" w:rsidRPr="00E509F1" w:rsidRDefault="005719EB" w:rsidP="00E509F1">
      <w:pPr>
        <w:spacing w:line="360" w:lineRule="auto"/>
        <w:ind w:left="360" w:firstLine="360"/>
        <w:rPr>
          <w:rFonts w:cstheme="minorHAnsi"/>
          <w:b/>
          <w:bCs/>
          <w:color w:val="000000" w:themeColor="text1"/>
        </w:rPr>
      </w:pPr>
    </w:p>
    <w:p w14:paraId="5385ECA8" w14:textId="77777777" w:rsidR="00E509F1" w:rsidRPr="00690B21" w:rsidRDefault="00E509F1" w:rsidP="0011131D">
      <w:pPr>
        <w:spacing w:line="360" w:lineRule="auto"/>
        <w:ind w:left="360"/>
        <w:rPr>
          <w:rFonts w:cstheme="minorHAnsi"/>
          <w:color w:val="000000" w:themeColor="text1"/>
        </w:rPr>
      </w:pPr>
    </w:p>
    <w:p w14:paraId="1E4BB4B3" w14:textId="77777777" w:rsidR="0011131D" w:rsidRDefault="0011131D" w:rsidP="00034725">
      <w:pPr>
        <w:spacing w:line="360" w:lineRule="auto"/>
        <w:rPr>
          <w:rFonts w:cstheme="minorHAnsi"/>
          <w:sz w:val="15"/>
          <w:szCs w:val="13"/>
          <w:u w:val="single"/>
        </w:rPr>
      </w:pPr>
    </w:p>
    <w:p w14:paraId="51D37017" w14:textId="77777777" w:rsidR="0011131D" w:rsidRDefault="0011131D" w:rsidP="00034725">
      <w:pPr>
        <w:spacing w:line="360" w:lineRule="auto"/>
        <w:rPr>
          <w:rFonts w:cstheme="minorHAnsi"/>
          <w:sz w:val="15"/>
          <w:szCs w:val="13"/>
          <w:u w:val="single"/>
        </w:rPr>
      </w:pPr>
    </w:p>
    <w:p w14:paraId="47EBCE71" w14:textId="77777777" w:rsidR="0011131D" w:rsidRDefault="0011131D" w:rsidP="00034725">
      <w:pPr>
        <w:spacing w:line="360" w:lineRule="auto"/>
        <w:rPr>
          <w:rFonts w:cstheme="minorHAnsi"/>
          <w:sz w:val="15"/>
          <w:szCs w:val="13"/>
          <w:u w:val="single"/>
        </w:rPr>
      </w:pPr>
    </w:p>
    <w:p w14:paraId="7C0CCE96" w14:textId="77777777" w:rsidR="0011131D" w:rsidRDefault="0011131D" w:rsidP="00034725">
      <w:pPr>
        <w:spacing w:line="360" w:lineRule="auto"/>
        <w:rPr>
          <w:rFonts w:cstheme="minorHAnsi"/>
          <w:sz w:val="15"/>
          <w:szCs w:val="13"/>
          <w:u w:val="single"/>
        </w:rPr>
      </w:pPr>
    </w:p>
    <w:p w14:paraId="7121F165" w14:textId="794A5BB5" w:rsidR="00034725" w:rsidRPr="00C722F7" w:rsidRDefault="00034725" w:rsidP="00034725">
      <w:pPr>
        <w:spacing w:line="360" w:lineRule="auto"/>
        <w:rPr>
          <w:rFonts w:cstheme="minorHAnsi"/>
          <w:sz w:val="15"/>
          <w:szCs w:val="13"/>
        </w:rPr>
      </w:pPr>
      <w:r w:rsidRPr="00C722F7">
        <w:rPr>
          <w:rFonts w:cstheme="minorHAnsi"/>
          <w:sz w:val="15"/>
          <w:szCs w:val="13"/>
          <w:u w:val="single"/>
        </w:rPr>
        <w:lastRenderedPageBreak/>
        <w:t>Risk type definitions</w:t>
      </w:r>
      <w:r w:rsidRPr="00C722F7">
        <w:rPr>
          <w:rFonts w:cstheme="minorHAnsi"/>
          <w:sz w:val="15"/>
          <w:szCs w:val="13"/>
        </w:rPr>
        <w:t>:</w:t>
      </w:r>
    </w:p>
    <w:p w14:paraId="3E369419" w14:textId="77777777" w:rsidR="00034725" w:rsidRPr="00C722F7" w:rsidRDefault="00034725" w:rsidP="00034725">
      <w:pPr>
        <w:spacing w:line="360" w:lineRule="auto"/>
        <w:rPr>
          <w:rFonts w:cstheme="minorHAnsi"/>
          <w:sz w:val="15"/>
          <w:szCs w:val="13"/>
        </w:rPr>
      </w:pPr>
      <w:r w:rsidRPr="00C722F7">
        <w:rPr>
          <w:rFonts w:cstheme="minorHAnsi"/>
          <w:sz w:val="15"/>
          <w:szCs w:val="13"/>
        </w:rPr>
        <w:t>L = Liquidity Risk</w:t>
      </w:r>
    </w:p>
    <w:p w14:paraId="4EDC45D8" w14:textId="77777777" w:rsidR="00034725" w:rsidRPr="00C722F7" w:rsidRDefault="00034725" w:rsidP="00034725">
      <w:pPr>
        <w:spacing w:line="360" w:lineRule="auto"/>
        <w:rPr>
          <w:rFonts w:cstheme="minorHAnsi"/>
          <w:sz w:val="15"/>
          <w:szCs w:val="13"/>
        </w:rPr>
      </w:pPr>
      <w:r w:rsidRPr="00C722F7">
        <w:rPr>
          <w:rFonts w:cstheme="minorHAnsi"/>
          <w:sz w:val="15"/>
          <w:szCs w:val="13"/>
        </w:rPr>
        <w:t>M= Market Risk</w:t>
      </w:r>
    </w:p>
    <w:p w14:paraId="34D057D9" w14:textId="1C090D8F" w:rsidR="00034725" w:rsidRDefault="00034725" w:rsidP="00034725">
      <w:pPr>
        <w:spacing w:line="360" w:lineRule="auto"/>
        <w:rPr>
          <w:rFonts w:cstheme="minorHAnsi"/>
          <w:sz w:val="15"/>
          <w:szCs w:val="13"/>
        </w:rPr>
      </w:pPr>
      <w:r w:rsidRPr="00C722F7">
        <w:rPr>
          <w:rFonts w:cstheme="minorHAnsi"/>
          <w:sz w:val="15"/>
          <w:szCs w:val="13"/>
        </w:rPr>
        <w:t>B= Business Risk</w:t>
      </w:r>
    </w:p>
    <w:p w14:paraId="2259D6FB" w14:textId="6B991F37" w:rsidR="00476B61" w:rsidRPr="00476B61" w:rsidRDefault="00476B61" w:rsidP="00034725">
      <w:pPr>
        <w:spacing w:line="360" w:lineRule="auto"/>
        <w:rPr>
          <w:rFonts w:cstheme="minorHAnsi"/>
        </w:rPr>
      </w:pPr>
    </w:p>
    <w:p w14:paraId="6C4F7E7C" w14:textId="77777777" w:rsidR="00476B61" w:rsidRPr="00C722F7" w:rsidRDefault="00476B61" w:rsidP="00034725">
      <w:pPr>
        <w:spacing w:line="360" w:lineRule="auto"/>
        <w:rPr>
          <w:rFonts w:cstheme="minorHAnsi"/>
          <w:sz w:val="15"/>
          <w:szCs w:val="13"/>
        </w:rPr>
      </w:pPr>
    </w:p>
    <w:p w14:paraId="5B4943A8" w14:textId="1E51F56C" w:rsidR="004E4D71" w:rsidRDefault="0047120B" w:rsidP="004E4D71">
      <w:pPr>
        <w:pStyle w:val="Heading1"/>
      </w:pPr>
      <w:r>
        <w:t>S</w:t>
      </w:r>
      <w:r w:rsidR="004E4D71">
        <w:t>UMMARY</w:t>
      </w:r>
      <w:r w:rsidR="00E720A1">
        <w:t xml:space="preserve"> &amp; SIgn-off</w:t>
      </w:r>
    </w:p>
    <w:p w14:paraId="139F5BD8" w14:textId="77777777" w:rsidR="00E720A1" w:rsidRDefault="007551B3">
      <w:r>
        <w:t xml:space="preserve">This </w:t>
      </w:r>
      <w:r w:rsidRPr="007551B3">
        <w:rPr>
          <w:b/>
          <w:bCs/>
          <w:i/>
          <w:iCs/>
        </w:rPr>
        <w:t xml:space="preserve">Financial House </w:t>
      </w:r>
      <w:r w:rsidR="00E720A1">
        <w:rPr>
          <w:b/>
          <w:bCs/>
          <w:i/>
          <w:iCs/>
        </w:rPr>
        <w:t>Blueprint</w:t>
      </w:r>
      <w:r>
        <w:t xml:space="preserve"> document was customized for your current situation.  It is intended to provide a simple view to the </w:t>
      </w:r>
      <w:r w:rsidR="00E720A1">
        <w:t>strategies we would employ for you using</w:t>
      </w:r>
      <w:r>
        <w:t xml:space="preserve"> the lens of </w:t>
      </w:r>
      <w:r w:rsidRPr="007551B3">
        <w:rPr>
          <w:b/>
          <w:bCs/>
          <w:i/>
          <w:iCs/>
        </w:rPr>
        <w:t>The Financial House</w:t>
      </w:r>
      <w:r>
        <w:t xml:space="preserve"> model.  </w:t>
      </w:r>
      <w:r w:rsidR="00E720A1">
        <w:t>Your signature below reflects your belief that this plan is effective and reflects your needs and expectations.</w:t>
      </w:r>
    </w:p>
    <w:p w14:paraId="223DA93B" w14:textId="77777777" w:rsidR="00E720A1" w:rsidRDefault="00E720A1"/>
    <w:p w14:paraId="6034D913" w14:textId="460C2196" w:rsidR="00E720A1" w:rsidRDefault="00E720A1">
      <w:r>
        <w:t>_______________________________________</w:t>
      </w:r>
      <w:r>
        <w:tab/>
      </w:r>
      <w:r>
        <w:tab/>
      </w:r>
      <w:r>
        <w:tab/>
        <w:t>_____________________</w:t>
      </w:r>
    </w:p>
    <w:p w14:paraId="4E73AA6A" w14:textId="67CFFC3A" w:rsidR="004E4D71" w:rsidRDefault="00E720A1">
      <w:r>
        <w:t>Client 1 Signature</w:t>
      </w:r>
      <w:r w:rsidR="007551B3">
        <w:t xml:space="preserve"> </w:t>
      </w:r>
      <w:r>
        <w:tab/>
      </w:r>
      <w:r>
        <w:tab/>
      </w:r>
      <w:r>
        <w:tab/>
      </w:r>
      <w:r>
        <w:tab/>
      </w:r>
      <w:r>
        <w:tab/>
      </w:r>
      <w:r>
        <w:tab/>
        <w:t>Date</w:t>
      </w:r>
    </w:p>
    <w:p w14:paraId="310C3A94" w14:textId="3D2FFCC2" w:rsidR="00E720A1" w:rsidRDefault="00E720A1"/>
    <w:p w14:paraId="750072C5" w14:textId="2D3FD6AB" w:rsidR="00E720A1" w:rsidRDefault="00E720A1"/>
    <w:p w14:paraId="7FE2AE2D" w14:textId="77777777" w:rsidR="00E720A1" w:rsidRDefault="00E720A1" w:rsidP="00E720A1">
      <w:r>
        <w:t>_______________________________________</w:t>
      </w:r>
      <w:r>
        <w:tab/>
      </w:r>
      <w:r>
        <w:tab/>
      </w:r>
      <w:r>
        <w:tab/>
        <w:t>_____________________</w:t>
      </w:r>
    </w:p>
    <w:p w14:paraId="3640DE86" w14:textId="74B8EC98" w:rsidR="00E720A1" w:rsidRDefault="00E720A1" w:rsidP="00E720A1">
      <w:r>
        <w:t xml:space="preserve">Client 2 Signature </w:t>
      </w:r>
      <w:r>
        <w:tab/>
      </w:r>
      <w:r>
        <w:tab/>
      </w:r>
      <w:r>
        <w:tab/>
      </w:r>
      <w:r>
        <w:tab/>
      </w:r>
      <w:r>
        <w:tab/>
      </w:r>
      <w:r>
        <w:tab/>
        <w:t>Date</w:t>
      </w:r>
    </w:p>
    <w:p w14:paraId="051B3591" w14:textId="77777777" w:rsidR="00E720A1" w:rsidRDefault="00E720A1"/>
    <w:p w14:paraId="0C29897B" w14:textId="4761C61F" w:rsidR="00B642FE" w:rsidRDefault="00B642FE">
      <w:r>
        <w:br w:type="page"/>
      </w:r>
    </w:p>
    <w:p w14:paraId="2E70F6B6" w14:textId="2CC76209" w:rsidR="00FE07CB" w:rsidRDefault="00FE07CB" w:rsidP="00FE07CB">
      <w:pPr>
        <w:spacing w:after="0"/>
      </w:pPr>
      <w:r>
        <w:rPr>
          <w:noProof/>
        </w:rPr>
        <w:lastRenderedPageBreak/>
        <mc:AlternateContent>
          <mc:Choice Requires="wps">
            <w:drawing>
              <wp:anchor distT="0" distB="0" distL="114300" distR="114300" simplePos="0" relativeHeight="251677696" behindDoc="0" locked="0" layoutInCell="1" allowOverlap="1" wp14:anchorId="7808D041" wp14:editId="052A376A">
                <wp:simplePos x="0" y="0"/>
                <wp:positionH relativeFrom="column">
                  <wp:posOffset>0</wp:posOffset>
                </wp:positionH>
                <wp:positionV relativeFrom="paragraph">
                  <wp:posOffset>0</wp:posOffset>
                </wp:positionV>
                <wp:extent cx="24193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5596"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" strokecolor="#7f7f7f [1612]" strokeweight=".5pt">
                <v:stroke joinstyle="miter"/>
              </v:line>
            </w:pict>
          </mc:Fallback>
        </mc:AlternateContent>
      </w:r>
    </w:p>
    <w:p w14:paraId="3EB58048" w14:textId="77777777" w:rsidR="00FE07CB" w:rsidRPr="00C90FE2" w:rsidRDefault="00FE07CB" w:rsidP="00FE07CB">
      <w:pPr>
        <w:pStyle w:val="m5500983138194827705msolistparagraph"/>
        <w:spacing w:after="80" w:afterAutospacing="0"/>
        <w:jc w:val="both"/>
        <w:rPr>
          <w:rFonts w:ascii="Calibri" w:hAnsi="Calibri" w:cs="Calibri"/>
          <w:color w:val="A6A6A6" w:themeColor="background1" w:themeShade="A6"/>
          <w:sz w:val="18"/>
          <w:szCs w:val="18"/>
        </w:rPr>
      </w:pPr>
      <w:r w:rsidRPr="00C90FE2">
        <w:rPr>
          <w:rFonts w:ascii="Calibri" w:hAnsi="Calibri" w:cs="Calibri"/>
          <w:color w:val="A6A6A6" w:themeColor="background1" w:themeShade="A6"/>
          <w:sz w:val="18"/>
          <w:szCs w:val="18"/>
        </w:rPr>
        <w:t xml:space="preserve">U.S. Private Wealth, LLC dba Wall Private Wealth is registered as an investment advisor with the state of Florida and only conducts business in states where it is properly registered or is excluded from registration requirements. Registration is not an endorsement of the firm by securities regulators and does not mean the advisor has achieved a specific level of skill or ability. </w:t>
      </w:r>
    </w:p>
    <w:p w14:paraId="54070DAA" w14:textId="77777777" w:rsidR="00FE07CB" w:rsidRPr="00C90FE2" w:rsidRDefault="00FE07CB" w:rsidP="00FE07CB">
      <w:pPr>
        <w:pStyle w:val="m5500983138194827705msolistparagraph"/>
        <w:spacing w:before="0" w:beforeAutospacing="0" w:after="80" w:afterAutospacing="0"/>
        <w:jc w:val="both"/>
        <w:rPr>
          <w:rFonts w:ascii="Calibri" w:hAnsi="Calibri" w:cs="Calibri"/>
          <w:color w:val="A6A6A6" w:themeColor="background1" w:themeShade="A6"/>
          <w:sz w:val="18"/>
          <w:szCs w:val="18"/>
        </w:rPr>
      </w:pPr>
      <w:r w:rsidRPr="00C90FE2">
        <w:rPr>
          <w:rFonts w:ascii="Calibri" w:hAnsi="Calibri" w:cs="Calibri"/>
          <w:color w:val="A6A6A6" w:themeColor="background1" w:themeShade="A6"/>
          <w:sz w:val="18"/>
          <w:szCs w:val="18"/>
        </w:rPr>
        <w:t>Projections are based on assumptions that may not come to pass. Information presented is believed to be factual and up-to-date, but we do not guarantee its accuracy and it should not be regarded as a complete analysis of the subjects discussed. All expressions of opinion reflect the judgment of the presenter on the date of the presentation and are subject to change. All investment strategies have the potential for profit or loss.</w:t>
      </w:r>
    </w:p>
    <w:p w14:paraId="2DA425D9" w14:textId="77777777" w:rsidR="00FE07CB" w:rsidRPr="00C90FE2" w:rsidRDefault="00FE07CB" w:rsidP="00FE07CB">
      <w:pPr>
        <w:pStyle w:val="m5500983138194827705msolistparagraph"/>
        <w:spacing w:before="0" w:beforeAutospacing="0" w:after="80" w:afterAutospacing="0"/>
        <w:jc w:val="both"/>
        <w:rPr>
          <w:rFonts w:ascii="Calibri" w:hAnsi="Calibri" w:cs="Calibri"/>
          <w:color w:val="A6A6A6" w:themeColor="background1" w:themeShade="A6"/>
          <w:sz w:val="18"/>
          <w:szCs w:val="18"/>
        </w:rPr>
      </w:pPr>
      <w:r w:rsidRPr="00C90FE2">
        <w:rPr>
          <w:rFonts w:ascii="Calibri" w:hAnsi="Calibri" w:cs="Calibri"/>
          <w:color w:val="A6A6A6" w:themeColor="background1" w:themeShade="A6"/>
          <w:sz w:val="18"/>
          <w:szCs w:val="18"/>
        </w:rPr>
        <w:t>Tax and legal information provided is general in nature. Always consult an attorney or tax professional regarding your specific legal or tax situation. Neither the presenter nor her firm is engaged in the practice of law or accounting.</w:t>
      </w:r>
    </w:p>
    <w:p w14:paraId="0D4CCFAD" w14:textId="77777777" w:rsidR="00FE07CB" w:rsidRPr="00C90FE2" w:rsidRDefault="00FE07CB" w:rsidP="00FE07CB">
      <w:pPr>
        <w:pStyle w:val="m5500983138194827705msolistparagraph"/>
        <w:spacing w:before="0" w:beforeAutospacing="0" w:after="80" w:afterAutospacing="0"/>
        <w:jc w:val="both"/>
        <w:rPr>
          <w:rFonts w:ascii="Calibri" w:hAnsi="Calibri" w:cs="Calibri"/>
          <w:color w:val="A6A6A6" w:themeColor="background1" w:themeShade="A6"/>
          <w:sz w:val="18"/>
          <w:szCs w:val="18"/>
        </w:rPr>
      </w:pPr>
      <w:r w:rsidRPr="00C90FE2">
        <w:rPr>
          <w:rFonts w:ascii="Calibri" w:hAnsi="Calibri" w:cs="Calibri"/>
          <w:color w:val="A6A6A6" w:themeColor="background1" w:themeShade="A6"/>
          <w:sz w:val="18"/>
          <w:szCs w:val="18"/>
        </w:rPr>
        <w:t>Annuity and life insurance guarantees are subject to the claims-paying ability of the issuing insurance company. If you withdraw money from or surrender your contract within a certain period of time after investing, the insurance company may assess a surrender charge. Withdrawals may be subject to tax penalties and income taxes. Persons selling annuities and other insurance products receive compensation for these transactions. Insurance products are subject to fees and additional expenses.</w:t>
      </w:r>
    </w:p>
    <w:p w14:paraId="1F0D3CDE" w14:textId="77777777" w:rsidR="00B642FE" w:rsidRDefault="00B642FE">
      <w:r>
        <w:br w:type="page"/>
      </w:r>
    </w:p>
    <w:tbl>
      <w:tblPr>
        <w:tblStyle w:val="ProposalTable"/>
        <w:tblpPr w:leftFromText="180" w:rightFromText="180" w:horzAnchor="margin" w:tblpY="29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42FE" w14:paraId="332C5AD9" w14:textId="77777777" w:rsidTr="00B642FE">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396A041B" w14:textId="79331CA3" w:rsidR="00B642FE" w:rsidRDefault="00B642FE" w:rsidP="00B642FE">
            <w:pPr>
              <w:jc w:val="center"/>
            </w:pPr>
            <w:r>
              <w:rPr>
                <w:noProof/>
              </w:rPr>
              <w:lastRenderedPageBreak/>
              <w:drawing>
                <wp:inline distT="0" distB="0" distL="0" distR="0" wp14:anchorId="38DE9705" wp14:editId="1B01878C">
                  <wp:extent cx="2780568" cy="695325"/>
                  <wp:effectExtent l="0" t="0" r="127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423" cy="701290"/>
                          </a:xfrm>
                          <a:prstGeom prst="rect">
                            <a:avLst/>
                          </a:prstGeom>
                          <a:noFill/>
                          <a:ln>
                            <a:noFill/>
                          </a:ln>
                        </pic:spPr>
                      </pic:pic>
                    </a:graphicData>
                  </a:graphic>
                </wp:inline>
              </w:drawing>
            </w:r>
          </w:p>
        </w:tc>
      </w:tr>
      <w:tr w:rsidR="00B642FE" w14:paraId="47171C76" w14:textId="77777777" w:rsidTr="00B642FE">
        <w:tc>
          <w:tcPr>
            <w:tcW w:w="9350" w:type="dxa"/>
            <w:shd w:val="clear" w:color="auto" w:fill="auto"/>
          </w:tcPr>
          <w:p w14:paraId="621829AE" w14:textId="77777777" w:rsidR="00B642FE" w:rsidRDefault="00B642FE" w:rsidP="00B642FE"/>
          <w:p w14:paraId="351C062D" w14:textId="77777777" w:rsidR="00B642FE" w:rsidRDefault="00B642FE" w:rsidP="00B642FE"/>
          <w:p w14:paraId="34C6ECEA" w14:textId="77777777" w:rsidR="00B642FE" w:rsidRDefault="00B642FE" w:rsidP="00B642FE"/>
          <w:p w14:paraId="79383EF1" w14:textId="77777777" w:rsidR="00B642FE" w:rsidRDefault="00B642FE" w:rsidP="00B642FE"/>
          <w:p w14:paraId="47A604E8" w14:textId="4E7BAA11" w:rsidR="00B642FE" w:rsidRDefault="00B642FE" w:rsidP="00B642FE"/>
        </w:tc>
      </w:tr>
      <w:tr w:rsidR="00B642FE" w14:paraId="4168BF20" w14:textId="77777777" w:rsidTr="00B642FE">
        <w:tc>
          <w:tcPr>
            <w:tcW w:w="9350" w:type="dxa"/>
            <w:shd w:val="clear" w:color="auto" w:fill="auto"/>
          </w:tcPr>
          <w:p w14:paraId="5CABAF16" w14:textId="4919C34F" w:rsidR="00B642FE" w:rsidRDefault="00B642FE" w:rsidP="00B642FE">
            <w:pPr>
              <w:jc w:val="center"/>
            </w:pPr>
            <w:r>
              <w:rPr>
                <w:noProof/>
              </w:rPr>
              <w:drawing>
                <wp:inline distT="0" distB="0" distL="0" distR="0" wp14:anchorId="061E1F9A" wp14:editId="717C95A8">
                  <wp:extent cx="2735974" cy="6477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395" cy="648747"/>
                          </a:xfrm>
                          <a:prstGeom prst="rect">
                            <a:avLst/>
                          </a:prstGeom>
                          <a:noFill/>
                        </pic:spPr>
                      </pic:pic>
                    </a:graphicData>
                  </a:graphic>
                </wp:inline>
              </w:drawing>
            </w:r>
          </w:p>
        </w:tc>
      </w:tr>
    </w:tbl>
    <w:p w14:paraId="64AB6E47" w14:textId="77777777" w:rsidR="004E4D71" w:rsidRDefault="004E4D71" w:rsidP="004E4D71"/>
    <w:p w14:paraId="318972E2" w14:textId="01091D13" w:rsidR="00696FD0" w:rsidRDefault="00696FD0" w:rsidP="004E4D71"/>
    <w:p w14:paraId="55AD14A1" w14:textId="6BFD3D34" w:rsidR="00696FD0" w:rsidRDefault="00696FD0" w:rsidP="004E4D71"/>
    <w:p w14:paraId="6D21DB97" w14:textId="6DF7B1F7" w:rsidR="00696FD0" w:rsidRPr="004E4D71" w:rsidRDefault="00B642FE" w:rsidP="004E4D71">
      <w:r>
        <w:rPr>
          <w:noProof/>
        </w:rPr>
        <mc:AlternateContent>
          <mc:Choice Requires="wps">
            <w:drawing>
              <wp:anchor distT="0" distB="0" distL="114300" distR="114300" simplePos="0" relativeHeight="251674624" behindDoc="0" locked="0" layoutInCell="1" allowOverlap="1" wp14:anchorId="52733AC1" wp14:editId="38D6AE0A">
                <wp:simplePos x="0" y="0"/>
                <wp:positionH relativeFrom="column">
                  <wp:posOffset>2047875</wp:posOffset>
                </wp:positionH>
                <wp:positionV relativeFrom="paragraph">
                  <wp:posOffset>7366000</wp:posOffset>
                </wp:positionV>
                <wp:extent cx="1790700" cy="676275"/>
                <wp:effectExtent l="0" t="0" r="0" b="9525"/>
                <wp:wrapNone/>
                <wp:docPr id="13" name="Rectangle 13"/>
                <wp:cNvGraphicFramePr/>
                <a:graphic xmlns:a="http://schemas.openxmlformats.org/drawingml/2006/main">
                  <a:graphicData uri="http://schemas.microsoft.com/office/word/2010/wordprocessingShape">
                    <wps:wsp>
                      <wps:cNvSpPr/>
                      <wps:spPr>
                        <a:xfrm>
                          <a:off x="0" y="0"/>
                          <a:ext cx="1790700"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59839" id="Rectangle 13" o:spid="_x0000_s1026" style="position:absolute;margin-left:161.25pt;margin-top:580pt;width:141pt;height:5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" fillcolor="white [3212]" stroked="f" strokeweight="1pt"/>
            </w:pict>
          </mc:Fallback>
        </mc:AlternateContent>
      </w:r>
    </w:p>
    <w:sectPr w:rsidR="00696FD0" w:rsidRPr="004E4D71" w:rsidSect="0054004B">
      <w:footerReference w:type="default" r:id="rId10"/>
      <w:headerReference w:type="first" r:id="rId11"/>
      <w:footerReference w:type="first" r:id="rId12"/>
      <w:pgSz w:w="12240" w:h="15840" w:code="1"/>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A9B5" w14:textId="77777777" w:rsidR="005757AB" w:rsidRDefault="005757AB">
      <w:pPr>
        <w:spacing w:after="0" w:line="240" w:lineRule="auto"/>
      </w:pPr>
      <w:r>
        <w:separator/>
      </w:r>
    </w:p>
  </w:endnote>
  <w:endnote w:type="continuationSeparator" w:id="0">
    <w:p w14:paraId="3A2F9FAF" w14:textId="77777777" w:rsidR="005757AB" w:rsidRDefault="005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3173" w14:textId="77777777" w:rsidR="0088175F" w:rsidRDefault="0088175F" w:rsidP="00696FD0">
    <w:pPr>
      <w:pStyle w:val="Footer"/>
      <w:jc w:val="center"/>
    </w:pPr>
    <w:r>
      <w:fldChar w:fldCharType="begin"/>
    </w:r>
    <w:r>
      <w:instrText xml:space="preserve"> PAGE   \* MERGEFORMAT </w:instrText>
    </w:r>
    <w:r>
      <w:fldChar w:fldCharType="separate"/>
    </w:r>
    <w:r w:rsidR="004E5035">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1158"/>
      <w:gridCol w:w="4322"/>
    </w:tblGrid>
    <w:tr w:rsidR="0054004B" w14:paraId="6F850BDF" w14:textId="77777777" w:rsidTr="002A7C79">
      <w:tc>
        <w:tcPr>
          <w:tcW w:w="7196" w:type="dxa"/>
        </w:tcPr>
        <w:p w14:paraId="2CDF8156" w14:textId="77777777" w:rsidR="0054004B" w:rsidRDefault="0054004B" w:rsidP="0054004B">
          <w:pPr>
            <w:pStyle w:val="Header"/>
            <w:jc w:val="center"/>
          </w:pPr>
          <w:r>
            <w:rPr>
              <w:noProof/>
            </w:rPr>
            <w:drawing>
              <wp:inline distT="0" distB="0" distL="0" distR="0" wp14:anchorId="5E25645E" wp14:editId="5B885BD0">
                <wp:extent cx="2000250" cy="500194"/>
                <wp:effectExtent l="0" t="0" r="0" b="0"/>
                <wp:docPr id="56" name="Picture 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870" cy="503350"/>
                        </a:xfrm>
                        <a:prstGeom prst="rect">
                          <a:avLst/>
                        </a:prstGeom>
                        <a:noFill/>
                        <a:ln>
                          <a:noFill/>
                        </a:ln>
                      </pic:spPr>
                    </pic:pic>
                  </a:graphicData>
                </a:graphic>
              </wp:inline>
            </w:drawing>
          </w:r>
        </w:p>
      </w:tc>
      <w:tc>
        <w:tcPr>
          <w:tcW w:w="7197" w:type="dxa"/>
        </w:tcPr>
        <w:p w14:paraId="15719391" w14:textId="77777777" w:rsidR="0054004B" w:rsidRDefault="0054004B" w:rsidP="0054004B">
          <w:pPr>
            <w:pStyle w:val="Header"/>
          </w:pPr>
        </w:p>
      </w:tc>
      <w:tc>
        <w:tcPr>
          <w:tcW w:w="7197" w:type="dxa"/>
        </w:tcPr>
        <w:p w14:paraId="4136D48D" w14:textId="77777777" w:rsidR="0054004B" w:rsidRDefault="005757AB" w:rsidP="0054004B">
          <w:pPr>
            <w:pStyle w:val="Header"/>
            <w:jc w:val="center"/>
          </w:pPr>
          <w:r>
            <w:rPr>
              <w:noProof/>
            </w:rPr>
            <w:object w:dxaOrig="2970" w:dyaOrig="690" w14:anchorId="526CA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pt;height:42.75pt;mso-width-percent:0;mso-height-percent:0;mso-width-percent:0;mso-height-percent:0">
                <v:imagedata r:id="rId2" o:title=""/>
              </v:shape>
              <o:OLEObject Type="Embed" ProgID="PBrush" ShapeID="_x0000_i1025" DrawAspect="Content" ObjectID="_1722162495" r:id="rId3"/>
            </w:object>
          </w:r>
        </w:p>
      </w:tc>
    </w:tr>
  </w:tbl>
  <w:p w14:paraId="5DD4C0DE" w14:textId="77777777" w:rsidR="0054004B" w:rsidRDefault="0054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0E00" w14:textId="77777777" w:rsidR="005757AB" w:rsidRDefault="005757AB">
      <w:pPr>
        <w:spacing w:after="0" w:line="240" w:lineRule="auto"/>
      </w:pPr>
      <w:r>
        <w:separator/>
      </w:r>
    </w:p>
  </w:footnote>
  <w:footnote w:type="continuationSeparator" w:id="0">
    <w:p w14:paraId="7365E900" w14:textId="77777777" w:rsidR="005757AB" w:rsidRDefault="0057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998B" w14:textId="295B6A15" w:rsidR="0054004B" w:rsidRDefault="006C2397">
    <w:pPr>
      <w:pStyle w:val="Header"/>
    </w:pPr>
    <w:r>
      <w:rPr>
        <w:noProof/>
      </w:rPr>
      <w:drawing>
        <wp:anchor distT="0" distB="0" distL="114300" distR="114300" simplePos="0" relativeHeight="251658240" behindDoc="0" locked="0" layoutInCell="1" allowOverlap="1" wp14:anchorId="62ADA6E0" wp14:editId="3D2DDC8E">
          <wp:simplePos x="0" y="0"/>
          <wp:positionH relativeFrom="column">
            <wp:posOffset>409575</wp:posOffset>
          </wp:positionH>
          <wp:positionV relativeFrom="paragraph">
            <wp:posOffset>190500</wp:posOffset>
          </wp:positionV>
          <wp:extent cx="4779645" cy="6730365"/>
          <wp:effectExtent l="133350" t="0" r="1468755" b="2228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782244">
                    <a:off x="0" y="0"/>
                    <a:ext cx="4779645" cy="67303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0032B"/>
    <w:multiLevelType w:val="hybridMultilevel"/>
    <w:tmpl w:val="71E27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574168"/>
    <w:multiLevelType w:val="hybridMultilevel"/>
    <w:tmpl w:val="01E6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505F2"/>
    <w:multiLevelType w:val="hybridMultilevel"/>
    <w:tmpl w:val="C682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C67E2"/>
    <w:multiLevelType w:val="hybridMultilevel"/>
    <w:tmpl w:val="3624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6A867372"/>
    <w:multiLevelType w:val="hybridMultilevel"/>
    <w:tmpl w:val="BCB0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314F7"/>
    <w:multiLevelType w:val="hybridMultilevel"/>
    <w:tmpl w:val="18B2A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9252111">
    <w:abstractNumId w:val="9"/>
  </w:num>
  <w:num w:numId="2" w16cid:durableId="838038596">
    <w:abstractNumId w:val="14"/>
  </w:num>
  <w:num w:numId="3" w16cid:durableId="425853605">
    <w:abstractNumId w:val="14"/>
    <w:lvlOverride w:ilvl="0">
      <w:startOverride w:val="1"/>
    </w:lvlOverride>
  </w:num>
  <w:num w:numId="4" w16cid:durableId="2086024588">
    <w:abstractNumId w:val="7"/>
  </w:num>
  <w:num w:numId="5" w16cid:durableId="252473205">
    <w:abstractNumId w:val="6"/>
  </w:num>
  <w:num w:numId="6" w16cid:durableId="481656659">
    <w:abstractNumId w:val="5"/>
  </w:num>
  <w:num w:numId="7" w16cid:durableId="1385719100">
    <w:abstractNumId w:val="4"/>
  </w:num>
  <w:num w:numId="8" w16cid:durableId="673067714">
    <w:abstractNumId w:val="8"/>
  </w:num>
  <w:num w:numId="9" w16cid:durableId="1675453116">
    <w:abstractNumId w:val="3"/>
  </w:num>
  <w:num w:numId="10" w16cid:durableId="1137651403">
    <w:abstractNumId w:val="2"/>
  </w:num>
  <w:num w:numId="11" w16cid:durableId="1847357194">
    <w:abstractNumId w:val="1"/>
  </w:num>
  <w:num w:numId="12" w16cid:durableId="1536382648">
    <w:abstractNumId w:val="0"/>
  </w:num>
  <w:num w:numId="13" w16cid:durableId="173960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1373190">
    <w:abstractNumId w:val="12"/>
  </w:num>
  <w:num w:numId="15" w16cid:durableId="2094280696">
    <w:abstractNumId w:val="15"/>
  </w:num>
  <w:num w:numId="16" w16cid:durableId="887373870">
    <w:abstractNumId w:val="13"/>
  </w:num>
  <w:num w:numId="17" w16cid:durableId="1338850774">
    <w:abstractNumId w:val="16"/>
  </w:num>
  <w:num w:numId="18" w16cid:durableId="1957443448">
    <w:abstractNumId w:val="11"/>
  </w:num>
  <w:num w:numId="19" w16cid:durableId="1889535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4B"/>
    <w:rsid w:val="000322BF"/>
    <w:rsid w:val="00034725"/>
    <w:rsid w:val="000437BB"/>
    <w:rsid w:val="00082A0E"/>
    <w:rsid w:val="00083A76"/>
    <w:rsid w:val="000A3103"/>
    <w:rsid w:val="000C6A97"/>
    <w:rsid w:val="000E697B"/>
    <w:rsid w:val="0011131D"/>
    <w:rsid w:val="00117948"/>
    <w:rsid w:val="001238BC"/>
    <w:rsid w:val="001273C1"/>
    <w:rsid w:val="001432B6"/>
    <w:rsid w:val="00151111"/>
    <w:rsid w:val="00194F27"/>
    <w:rsid w:val="002129B0"/>
    <w:rsid w:val="002175EE"/>
    <w:rsid w:val="002259CC"/>
    <w:rsid w:val="00295C0C"/>
    <w:rsid w:val="002A04F7"/>
    <w:rsid w:val="002B2F6D"/>
    <w:rsid w:val="002E52EE"/>
    <w:rsid w:val="002E6687"/>
    <w:rsid w:val="002F19BB"/>
    <w:rsid w:val="00322339"/>
    <w:rsid w:val="00323CF7"/>
    <w:rsid w:val="003262F3"/>
    <w:rsid w:val="003279C3"/>
    <w:rsid w:val="00346FDE"/>
    <w:rsid w:val="00347005"/>
    <w:rsid w:val="00375544"/>
    <w:rsid w:val="0038660A"/>
    <w:rsid w:val="00386778"/>
    <w:rsid w:val="00394115"/>
    <w:rsid w:val="003963A0"/>
    <w:rsid w:val="003A3031"/>
    <w:rsid w:val="003B7AF0"/>
    <w:rsid w:val="0045086F"/>
    <w:rsid w:val="004548D8"/>
    <w:rsid w:val="0047120B"/>
    <w:rsid w:val="00476B61"/>
    <w:rsid w:val="004B5850"/>
    <w:rsid w:val="004C4CBC"/>
    <w:rsid w:val="004E4D71"/>
    <w:rsid w:val="004E5035"/>
    <w:rsid w:val="004F5C8E"/>
    <w:rsid w:val="00517215"/>
    <w:rsid w:val="0054004B"/>
    <w:rsid w:val="005425AB"/>
    <w:rsid w:val="00545041"/>
    <w:rsid w:val="005719EB"/>
    <w:rsid w:val="005757AB"/>
    <w:rsid w:val="00590B0E"/>
    <w:rsid w:val="005A520F"/>
    <w:rsid w:val="005D0A4C"/>
    <w:rsid w:val="0063124D"/>
    <w:rsid w:val="006350C3"/>
    <w:rsid w:val="00643B40"/>
    <w:rsid w:val="0065332C"/>
    <w:rsid w:val="006829DB"/>
    <w:rsid w:val="00690B21"/>
    <w:rsid w:val="00696FD0"/>
    <w:rsid w:val="006C01BE"/>
    <w:rsid w:val="006C2397"/>
    <w:rsid w:val="006C5ECB"/>
    <w:rsid w:val="0071603F"/>
    <w:rsid w:val="00737DCA"/>
    <w:rsid w:val="00741991"/>
    <w:rsid w:val="007551B3"/>
    <w:rsid w:val="0076017A"/>
    <w:rsid w:val="00770CD0"/>
    <w:rsid w:val="0077190C"/>
    <w:rsid w:val="00805667"/>
    <w:rsid w:val="0082434A"/>
    <w:rsid w:val="0085020E"/>
    <w:rsid w:val="00880A9A"/>
    <w:rsid w:val="0088175F"/>
    <w:rsid w:val="00882664"/>
    <w:rsid w:val="00882E27"/>
    <w:rsid w:val="008961F2"/>
    <w:rsid w:val="008C5E1F"/>
    <w:rsid w:val="008F0E66"/>
    <w:rsid w:val="008F1C77"/>
    <w:rsid w:val="008F4E62"/>
    <w:rsid w:val="00950C6E"/>
    <w:rsid w:val="00971C02"/>
    <w:rsid w:val="00987BCC"/>
    <w:rsid w:val="009A3E0F"/>
    <w:rsid w:val="009B5D53"/>
    <w:rsid w:val="009B6905"/>
    <w:rsid w:val="009C67D9"/>
    <w:rsid w:val="009D5C5D"/>
    <w:rsid w:val="009E238D"/>
    <w:rsid w:val="009E382D"/>
    <w:rsid w:val="00A13402"/>
    <w:rsid w:val="00A216C8"/>
    <w:rsid w:val="00A97CC8"/>
    <w:rsid w:val="00AA05D4"/>
    <w:rsid w:val="00AA3A82"/>
    <w:rsid w:val="00AA4E06"/>
    <w:rsid w:val="00AA528E"/>
    <w:rsid w:val="00AB131D"/>
    <w:rsid w:val="00AF452C"/>
    <w:rsid w:val="00B0209E"/>
    <w:rsid w:val="00B05D4F"/>
    <w:rsid w:val="00B13AE2"/>
    <w:rsid w:val="00B642FE"/>
    <w:rsid w:val="00B8731F"/>
    <w:rsid w:val="00BC617C"/>
    <w:rsid w:val="00BE3CD6"/>
    <w:rsid w:val="00BF07E4"/>
    <w:rsid w:val="00C16778"/>
    <w:rsid w:val="00C23572"/>
    <w:rsid w:val="00C34A4F"/>
    <w:rsid w:val="00C722F7"/>
    <w:rsid w:val="00CC4E29"/>
    <w:rsid w:val="00CC612B"/>
    <w:rsid w:val="00CE1BA2"/>
    <w:rsid w:val="00CF3D5C"/>
    <w:rsid w:val="00D1078C"/>
    <w:rsid w:val="00D25B68"/>
    <w:rsid w:val="00D31D4F"/>
    <w:rsid w:val="00D4714F"/>
    <w:rsid w:val="00D74D7C"/>
    <w:rsid w:val="00DD3056"/>
    <w:rsid w:val="00E43F37"/>
    <w:rsid w:val="00E50592"/>
    <w:rsid w:val="00E509F1"/>
    <w:rsid w:val="00E52587"/>
    <w:rsid w:val="00E554B5"/>
    <w:rsid w:val="00E720A1"/>
    <w:rsid w:val="00EA06FB"/>
    <w:rsid w:val="00EB5C1D"/>
    <w:rsid w:val="00EC4B4C"/>
    <w:rsid w:val="00ED17E4"/>
    <w:rsid w:val="00EE0F7C"/>
    <w:rsid w:val="00EF754F"/>
    <w:rsid w:val="00F42EAE"/>
    <w:rsid w:val="00F50374"/>
    <w:rsid w:val="00F535B0"/>
    <w:rsid w:val="00F55AE6"/>
    <w:rsid w:val="00F9769D"/>
    <w:rsid w:val="00FA21DD"/>
    <w:rsid w:val="00FB2EE0"/>
    <w:rsid w:val="00FC1186"/>
    <w:rsid w:val="00FC68B0"/>
    <w:rsid w:val="00FE07CB"/>
    <w:rsid w:val="00FE2521"/>
    <w:rsid w:val="00F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141F6"/>
  <w15:chartTrackingRefBased/>
  <w15:docId w15:val="{4EA57DA0-C507-4179-8182-0E92985B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B8731F"/>
    <w:pPr>
      <w:ind w:left="720"/>
      <w:contextualSpacing/>
    </w:pPr>
  </w:style>
  <w:style w:type="paragraph" w:customStyle="1" w:styleId="m5500983138194827705msolistparagraph">
    <w:name w:val="m_5500983138194827705msolistparagraph"/>
    <w:basedOn w:val="Normal"/>
    <w:rsid w:val="00FE07C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man%20Family\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C:\Users\Leaman Family\AppData\Roaming\Microsoft\Templates\Services proposal (Business Blue design).dotx</Template>
  <TotalTime>0</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Leaman Family</dc:creator>
  <cp:lastModifiedBy>Dalton Helvey</cp:lastModifiedBy>
  <cp:revision>3</cp:revision>
  <cp:lastPrinted>2022-08-16T17:41:00Z</cp:lastPrinted>
  <dcterms:created xsi:type="dcterms:W3CDTF">2022-08-16T17:41:00Z</dcterms:created>
  <dcterms:modified xsi:type="dcterms:W3CDTF">2022-08-16T17:41:00Z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